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auto"/>
          <w:sz w:val="28"/>
          <w:szCs w:val="28"/>
        </w:rPr>
      </w:pPr>
    </w:p>
    <w:p>
      <w:pPr>
        <w:jc w:val="center"/>
        <w:rPr>
          <w:rFonts w:ascii="黑体" w:hAnsi="黑体" w:eastAsia="黑体"/>
          <w:b/>
          <w:color w:val="auto"/>
          <w:sz w:val="36"/>
        </w:rPr>
      </w:pPr>
      <w:r>
        <w:rPr>
          <w:rFonts w:hint="eastAsia" w:ascii="黑体" w:hAnsi="黑体" w:eastAsia="黑体"/>
          <w:b/>
          <w:color w:val="auto"/>
          <w:sz w:val="36"/>
        </w:rPr>
        <w:t>常见问题解答</w:t>
      </w:r>
    </w:p>
    <w:p>
      <w:pPr>
        <w:jc w:val="center"/>
        <w:rPr>
          <w:rFonts w:ascii="黑体" w:hAnsi="黑体" w:eastAsia="黑体"/>
          <w:b/>
          <w:color w:val="auto"/>
          <w:sz w:val="28"/>
          <w:szCs w:val="28"/>
        </w:rPr>
      </w:pPr>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主管部门对域名从业机构申请的审查依据是什么？</w:t>
      </w:r>
    </w:p>
    <w:p>
      <w:pPr>
        <w:jc w:val="left"/>
        <w:rPr>
          <w:rFonts w:ascii="仿宋_GB2312" w:hAnsi="微软雅黑" w:eastAsia="仿宋_GB2312"/>
          <w:color w:val="auto"/>
          <w:sz w:val="28"/>
          <w:szCs w:val="28"/>
        </w:rPr>
      </w:pPr>
      <w:r>
        <w:rPr>
          <w:rFonts w:hint="eastAsia" w:ascii="仿宋_GB2312" w:hAnsi="微软雅黑" w:eastAsia="仿宋_GB2312"/>
          <w:color w:val="auto"/>
          <w:sz w:val="28"/>
          <w:szCs w:val="28"/>
        </w:rPr>
        <w:t>答：电信管理机构（包括工业和信息化部或者省、自治区、直辖市通信管理局）依据《</w:t>
      </w:r>
      <w:r>
        <w:rPr>
          <w:rFonts w:hint="eastAsia" w:ascii="仿宋_GB2312" w:hAnsi="华文仿宋" w:eastAsia="仿宋_GB2312"/>
          <w:color w:val="auto"/>
          <w:sz w:val="28"/>
          <w:szCs w:val="28"/>
        </w:rPr>
        <w:t>行政许可法》和</w:t>
      </w:r>
      <w:r>
        <w:rPr>
          <w:rFonts w:hint="eastAsia" w:ascii="仿宋_GB2312" w:eastAsia="仿宋_GB2312"/>
          <w:color w:val="auto"/>
          <w:sz w:val="28"/>
          <w:szCs w:val="28"/>
        </w:rPr>
        <w:t>《互联网域名管理办法》等相关规定，受理和审批域名从业机构（包括域名根服务器运行机构、域名注册管理机构及域名注册服务机构）的资质申请。</w:t>
      </w:r>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根据《互联网域名管理办法》，申请成为域名注册管理机构和服务机构应符合哪些核心要求？</w:t>
      </w:r>
    </w:p>
    <w:p>
      <w:pPr>
        <w:pStyle w:val="10"/>
        <w:spacing w:line="360" w:lineRule="auto"/>
        <w:rPr>
          <w:rFonts w:ascii="仿宋_GB2312" w:hAnsi="Arial Unicode MS" w:eastAsia="仿宋_GB2312"/>
          <w:color w:val="auto"/>
          <w:sz w:val="28"/>
          <w:szCs w:val="28"/>
        </w:rPr>
      </w:pPr>
      <w:r>
        <w:rPr>
          <w:rFonts w:hint="eastAsia" w:ascii="仿宋_GB2312" w:hAnsi="微软雅黑" w:eastAsia="仿宋_GB2312"/>
          <w:color w:val="auto"/>
          <w:sz w:val="28"/>
          <w:szCs w:val="28"/>
        </w:rPr>
        <w:t>答：</w:t>
      </w:r>
      <w:r>
        <w:rPr>
          <w:rFonts w:hint="eastAsia" w:ascii="仿宋_GB2312" w:hAnsi="Arial Unicode MS" w:eastAsia="仿宋_GB2312"/>
          <w:color w:val="auto"/>
          <w:sz w:val="28"/>
          <w:szCs w:val="28"/>
        </w:rPr>
        <w:t>根据《互联网域名管理办法》相关条款要求，申请成为域名注册管理机构和服务机构应符合的核心条件:</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（一）申请主体应当是在中华人民共和国境内依法设立的法人实体；</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（二）域名注册管理系统、域名信息查询（WHOIS）系统、顶级域名解析系统、注册数据库、注册数据托管应设置在中华人民共和国境内；</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三）提供相关材料，证明申请主体具有对域名注册申请者进行实名核验的能力，承诺切实履行实名核验的职责，并提供保留字制度和清单，承诺对申请注册的域名按照《互联网域名管理办法》的有关要求进行名称审核；</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（四）承诺网络与信息安全主体责任，制定符合要求的网络与信息安全保障措施和违规域名处置机制，并承诺执行。</w:t>
      </w:r>
    </w:p>
    <w:p>
      <w:pPr>
        <w:pStyle w:val="10"/>
        <w:spacing w:line="360" w:lineRule="auto"/>
        <w:ind w:firstLine="560" w:firstLineChars="200"/>
        <w:rPr>
          <w:rFonts w:ascii="仿宋_GB2312" w:hAnsi="Arial Unicode MS" w:eastAsia="仿宋_GB2312"/>
          <w:color w:val="auto"/>
          <w:sz w:val="28"/>
          <w:szCs w:val="28"/>
        </w:rPr>
      </w:pPr>
      <w:r>
        <w:rPr>
          <w:rFonts w:hint="eastAsia" w:ascii="仿宋_GB2312" w:hAnsi="Arial Unicode MS" w:eastAsia="仿宋_GB2312"/>
          <w:color w:val="auto"/>
          <w:sz w:val="28"/>
          <w:szCs w:val="28"/>
        </w:rPr>
        <w:t>此外，为与国际域名体系保持衔接，申请主体应当首先从互联网域名地址分配机构（ICANN）取得运营资质，或者取得相关顶级域运行机构（具备ICANN资质）的运营授权。</w:t>
      </w:r>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申请成为域名注册服务机构可以从何种途径进行咨询和申请？</w:t>
      </w:r>
    </w:p>
    <w:p>
      <w:pPr>
        <w:widowControl/>
        <w:spacing w:line="312" w:lineRule="atLeast"/>
        <w:rPr>
          <w:rFonts w:ascii="仿宋_GB2312" w:hAnsi="宋体" w:eastAsia="仿宋_GB2312" w:cs="宋体"/>
          <w:color w:val="auto"/>
          <w:kern w:val="0"/>
          <w:sz w:val="28"/>
          <w:szCs w:val="28"/>
        </w:rPr>
      </w:pPr>
      <w:r>
        <w:rPr>
          <w:rFonts w:hint="eastAsia" w:ascii="仿宋_GB2312" w:hAnsi="宋体" w:eastAsia="仿宋_GB2312" w:cs="宋体"/>
          <w:color w:val="auto"/>
          <w:kern w:val="0"/>
          <w:sz w:val="28"/>
          <w:szCs w:val="28"/>
        </w:rPr>
        <w:t>答：申请主体可在全国一体化在线政务服务平台工业和信息化部政务服务平台https://ythzxfw.miit.gov.cn中查阅相关申请的办事指南、办事流程等信息，下载申请表格样表等文件。申请主体可通过https://ythzxfw.miit.gov.cn进行用户注册，登录后可进行域名注册服务机构的申请，并可向通过省、自治区、直辖市通信管理局进行咨询</w:t>
      </w:r>
      <w:r>
        <w:rPr>
          <w:rFonts w:ascii="仿宋_GB2312" w:hAnsi="宋体" w:eastAsia="仿宋_GB2312" w:cs="宋体"/>
          <w:color w:val="auto"/>
          <w:kern w:val="0"/>
          <w:sz w:val="28"/>
          <w:szCs w:val="28"/>
        </w:rPr>
        <w:t>。</w:t>
      </w:r>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申请成为域名服务机构的流程是什么？</w:t>
      </w:r>
    </w:p>
    <w:p>
      <w:pPr>
        <w:pStyle w:val="10"/>
        <w:spacing w:line="360" w:lineRule="auto"/>
        <w:rPr>
          <w:rFonts w:ascii="仿宋_GB2312" w:hAnsi="Arial Unicode MS" w:eastAsia="仿宋_GB2312"/>
          <w:color w:val="auto"/>
          <w:sz w:val="28"/>
          <w:szCs w:val="28"/>
        </w:rPr>
      </w:pPr>
      <w:r>
        <w:rPr>
          <w:rFonts w:hint="eastAsia" w:ascii="仿宋_GB2312" w:hAnsi="Arial Unicode MS" w:eastAsia="仿宋_GB2312"/>
          <w:color w:val="auto"/>
          <w:sz w:val="28"/>
          <w:szCs w:val="28"/>
        </w:rPr>
        <w:t>答：申请成为互联网域名注册服务机构的流程的</w:t>
      </w:r>
      <w:r>
        <w:rPr>
          <w:rFonts w:hint="eastAsia" w:ascii="仿宋_GB2312" w:eastAsia="仿宋_GB2312" w:cs="宋体"/>
          <w:color w:val="auto"/>
          <w:kern w:val="0"/>
          <w:sz w:val="28"/>
          <w:szCs w:val="28"/>
        </w:rPr>
        <w:t>链接</w:t>
      </w:r>
      <w:r>
        <w:rPr>
          <w:rFonts w:hint="eastAsia" w:ascii="仿宋_GB2312" w:hAnsi="Arial Unicode MS" w:eastAsia="仿宋_GB2312"/>
          <w:color w:val="auto"/>
          <w:sz w:val="28"/>
          <w:szCs w:val="28"/>
        </w:rPr>
        <w:t xml:space="preserve">： </w:t>
      </w:r>
      <w:r>
        <w:rPr>
          <w:rFonts w:ascii="仿宋_GB2312" w:hAnsi="Arial Unicode MS" w:eastAsia="仿宋_GB2312"/>
          <w:color w:val="auto"/>
          <w:sz w:val="28"/>
          <w:szCs w:val="28"/>
        </w:rPr>
        <w:t>https://ythzxfw.miit.gov.cn</w:t>
      </w:r>
      <w:r>
        <w:rPr>
          <w:rFonts w:hint="eastAsia" w:ascii="仿宋_GB2312" w:hAnsi="Arial Unicode MS" w:eastAsia="仿宋_GB2312"/>
          <w:color w:val="auto"/>
          <w:sz w:val="28"/>
          <w:szCs w:val="28"/>
        </w:rPr>
        <w:t>。申</w:t>
      </w:r>
      <w:r>
        <w:rPr>
          <w:rFonts w:hint="eastAsia" w:ascii="仿宋_GB2312" w:hAnsi="Arial Unicode MS" w:eastAsia="仿宋_GB2312"/>
          <w:color w:val="auto"/>
          <w:sz w:val="28"/>
          <w:szCs w:val="28"/>
        </w:rPr>
        <w:t>请人提交相关材料，由所在地省、自治区、直辖市通信管理局进行审查。</w:t>
      </w:r>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目前哪些域名从业机构已经获批？其获批运营、维护和管理的顶级域都有哪些？</w:t>
      </w:r>
    </w:p>
    <w:p>
      <w:pPr>
        <w:pStyle w:val="10"/>
        <w:rPr>
          <w:rFonts w:ascii="仿宋_GB2312" w:hAnsi="华文仿宋" w:eastAsia="仿宋_GB2312"/>
          <w:color w:val="auto"/>
          <w:sz w:val="28"/>
          <w:szCs w:val="28"/>
        </w:rPr>
      </w:pPr>
      <w:r>
        <w:rPr>
          <w:rFonts w:hint="eastAsia" w:ascii="仿宋_GB2312" w:hAnsi="华文仿宋" w:eastAsia="仿宋_GB2312"/>
          <w:color w:val="auto"/>
          <w:sz w:val="28"/>
          <w:szCs w:val="28"/>
        </w:rPr>
        <w:t>答：具体单位名称和许可服务范围信息可通过工业和信息化部</w:t>
      </w:r>
      <w:r>
        <w:rPr>
          <w:rFonts w:hint="eastAsia" w:ascii="仿宋_GB2312" w:hAnsi="华文仿宋" w:eastAsia="仿宋_GB2312"/>
          <w:color w:val="auto"/>
          <w:sz w:val="28"/>
          <w:szCs w:val="28"/>
        </w:rPr>
        <w:t>政务服务平台</w:t>
      </w:r>
      <w:r>
        <w:rPr>
          <w:rFonts w:ascii="仿宋_GB2312" w:hAnsi="华文仿宋" w:eastAsia="仿宋_GB2312"/>
          <w:color w:val="auto"/>
          <w:sz w:val="28"/>
          <w:szCs w:val="28"/>
        </w:rPr>
        <w:t>https://ythzxfw.miit.gov.cn</w:t>
      </w:r>
      <w:r>
        <w:rPr>
          <w:rFonts w:hint="eastAsia" w:ascii="仿宋_GB2312" w:hAnsi="华文仿宋" w:eastAsia="仿宋_GB2312"/>
          <w:color w:val="auto"/>
          <w:sz w:val="28"/>
          <w:szCs w:val="28"/>
        </w:rPr>
        <w:t>或域名行业管理信息公示平台</w:t>
      </w:r>
      <w:r>
        <w:rPr>
          <w:rFonts w:ascii="仿宋_GB2312" w:hAnsi="华文仿宋" w:eastAsia="仿宋_GB2312"/>
          <w:color w:val="auto"/>
          <w:sz w:val="28"/>
          <w:szCs w:val="28"/>
        </w:rPr>
        <w:t>http://domain.miit.gov.cn</w:t>
      </w:r>
      <w:r>
        <w:rPr>
          <w:rFonts w:hint="eastAsia" w:ascii="仿宋_GB2312" w:hAnsi="华文仿宋" w:eastAsia="仿宋_GB2312"/>
          <w:color w:val="auto"/>
          <w:sz w:val="28"/>
          <w:szCs w:val="28"/>
        </w:rPr>
        <w:t>或h</w:t>
      </w:r>
      <w:r>
        <w:rPr>
          <w:rFonts w:ascii="仿宋_GB2312" w:hAnsi="华文仿宋" w:eastAsia="仿宋_GB2312"/>
          <w:color w:val="auto"/>
          <w:sz w:val="28"/>
          <w:szCs w:val="28"/>
        </w:rPr>
        <w:t>ttp://</w:t>
      </w:r>
      <w:r>
        <w:rPr>
          <w:rFonts w:hint="eastAsia" w:ascii="仿宋_GB2312" w:hAnsi="华文仿宋" w:eastAsia="仿宋_GB2312"/>
          <w:color w:val="auto"/>
          <w:sz w:val="28"/>
          <w:szCs w:val="28"/>
        </w:rPr>
        <w:t>域名.信息查询</w:t>
      </w:r>
      <w:r>
        <w:rPr>
          <w:rFonts w:hint="eastAsia" w:ascii="仿宋_GB2312" w:hAnsi="华文仿宋" w:eastAsia="仿宋_GB2312"/>
          <w:color w:val="auto"/>
          <w:sz w:val="28"/>
          <w:szCs w:val="28"/>
        </w:rPr>
        <w:t>。</w:t>
      </w:r>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企业不清楚申请域名注册服务机构和域名注册管理机构？</w:t>
      </w:r>
    </w:p>
    <w:p>
      <w:pPr>
        <w:rPr>
          <w:rFonts w:ascii="仿宋_GB2312" w:hAnsi="宋体" w:eastAsia="仿宋_GB2312"/>
          <w:color w:val="auto"/>
          <w:sz w:val="28"/>
          <w:szCs w:val="28"/>
          <w:u w:val="single"/>
        </w:rPr>
      </w:pPr>
      <w:r>
        <w:rPr>
          <w:rFonts w:hint="eastAsia" w:ascii="仿宋_GB2312" w:hAnsi="Arial Unicode MS" w:eastAsia="仿宋_GB2312"/>
          <w:color w:val="auto"/>
          <w:sz w:val="28"/>
          <w:szCs w:val="28"/>
        </w:rPr>
        <w:t>答：如果只提供出售域名、DNS解析、交易过户、续费等服务，则企业应该申请域名注册服务机构，材料由企业所在地信管局审批，具体事宜请咨询当地信管局；如果除提供上述服务外，还负责管理和运维域名注册管理系统、维护域名数据库，则企业应该申请域名注册管理机构，材料由工信部审批。</w:t>
      </w:r>
      <w:bookmarkStart w:id="0" w:name="_GoBack"/>
      <w:bookmarkEnd w:id="0"/>
    </w:p>
    <w:p>
      <w:pPr>
        <w:pStyle w:val="9"/>
        <w:numPr>
          <w:ilvl w:val="0"/>
          <w:numId w:val="1"/>
        </w:numPr>
        <w:ind w:firstLineChars="0"/>
        <w:rPr>
          <w:rFonts w:ascii="仿宋_GB2312" w:hAnsi="微软雅黑" w:eastAsia="仿宋_GB2312"/>
          <w:b/>
          <w:color w:val="auto"/>
          <w:sz w:val="28"/>
          <w:szCs w:val="28"/>
        </w:rPr>
      </w:pPr>
      <w:r>
        <w:rPr>
          <w:rFonts w:hint="eastAsia" w:ascii="仿宋_GB2312" w:hAnsi="微软雅黑" w:eastAsia="仿宋_GB2312"/>
          <w:b/>
          <w:color w:val="auto"/>
          <w:sz w:val="28"/>
          <w:szCs w:val="28"/>
        </w:rPr>
        <w:t>如果向企业推销域名，企业不知如何是否应该购买？</w:t>
      </w:r>
    </w:p>
    <w:p>
      <w:pPr>
        <w:rPr>
          <w:rFonts w:ascii="仿宋_GB2312" w:hAnsi="宋体" w:eastAsia="仿宋_GB2312"/>
          <w:color w:val="auto"/>
          <w:sz w:val="28"/>
          <w:szCs w:val="28"/>
          <w:u w:val="single"/>
        </w:rPr>
      </w:pPr>
      <w:r>
        <w:rPr>
          <w:rFonts w:hint="eastAsia" w:ascii="仿宋_GB2312" w:hAnsi="Arial Unicode MS" w:eastAsia="仿宋_GB2312"/>
          <w:color w:val="auto"/>
          <w:sz w:val="28"/>
          <w:szCs w:val="28"/>
        </w:rPr>
        <w:t>答：原则上域名交易和投资属于商业行为，电信管理机构对此不进行干涉，由企业根据自身权益保护和商业价值等角度进行判断衡量，企业也可通过网络等途径查询相关知识。如果企业认为推销的域名影响到商标等正当权益，请将涉及的域名注册服务机构、域名注册管理机构、事由、时间等相关信息发送至domain@miit.gov.cn邮箱或通过其他方式进行投诉。</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493FF1"/>
    <w:multiLevelType w:val="multilevel"/>
    <w:tmpl w:val="63493F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86"/>
    <w:rsid w:val="00064D79"/>
    <w:rsid w:val="001C7F40"/>
    <w:rsid w:val="00234407"/>
    <w:rsid w:val="00243B03"/>
    <w:rsid w:val="0025143A"/>
    <w:rsid w:val="003A3286"/>
    <w:rsid w:val="0073764E"/>
    <w:rsid w:val="00765DFB"/>
    <w:rsid w:val="007E6340"/>
    <w:rsid w:val="00A4399E"/>
    <w:rsid w:val="00BD4F67"/>
    <w:rsid w:val="00D21149"/>
    <w:rsid w:val="00DD44A1"/>
    <w:rsid w:val="00E4589E"/>
    <w:rsid w:val="00F61799"/>
    <w:rsid w:val="339B3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customStyle="1" w:styleId="9">
    <w:name w:val="列出段落1"/>
    <w:basedOn w:val="1"/>
    <w:qFormat/>
    <w:uiPriority w:val="34"/>
    <w:pPr>
      <w:ind w:firstLine="420" w:firstLineChars="200"/>
    </w:pPr>
  </w:style>
  <w:style w:type="paragraph" w:customStyle="1" w:styleId="10">
    <w:name w:val="正文 周报"/>
    <w:basedOn w:val="1"/>
    <w:qFormat/>
    <w:uiPriority w:val="99"/>
    <w:rPr>
      <w:rFonts w:ascii="宋体" w:hAnsi="宋体"/>
      <w:sz w:val="30"/>
      <w:szCs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205</Words>
  <Characters>1171</Characters>
  <Lines>9</Lines>
  <Paragraphs>2</Paragraphs>
  <TotalTime>16</TotalTime>
  <ScaleCrop>false</ScaleCrop>
  <LinksUpToDate>false</LinksUpToDate>
  <CharactersWithSpaces>1374</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2021-06-16T07:48:00Z</dcterms:created>
  <dc:creator>d ziying</dc:creator>
  <cp:lastModifiedBy>阿冰</cp:lastModifiedBy>
  <dcterms:modified xsi:type="dcterms:W3CDTF">2021-07-19T08:50:29Z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6AB98F90304E4A558081ED26078A9FF8</vt:lpwstr>
  </property>
</Properties>
</file>