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0" w:firstLineChars="0"/>
        <w:jc w:val="left"/>
        <w:rPr>
          <w:rFonts w:ascii="黑体" w:hAnsi="黑体" w:eastAsia="黑体" w:cs="黑体"/>
          <w:color w:val="C00000"/>
          <w:szCs w:val="28"/>
        </w:rPr>
      </w:pPr>
      <w:r>
        <w:rPr>
          <w:rFonts w:hint="eastAsia" w:ascii="黑体" w:hAnsi="黑体" w:eastAsia="黑体" w:cs="黑体"/>
          <w:color w:val="C00000"/>
          <w:kern w:val="2"/>
          <w:sz w:val="28"/>
          <w:szCs w:val="28"/>
          <w:lang w:val="en-US" w:eastAsia="zh-CN" w:bidi="ar-SA"/>
        </w:rPr>
        <w:pict>
          <v:shape id="Picture 1" o:spid="_x0000_s1027" alt="捕获2" type="#_x0000_t75" style="height:33pt;width:40.5pt;rotation:0f;" o:ole="f" fillcolor="#FFFFFF" filled="f" o:preferrelative="t" stroked="f" coordorigin="0,0" coordsize="21600,21600">
            <v:fill on="f" color2="#FFFFFF" focus="0%"/>
            <v:imagedata gain="65536f" blacklevel="0f" gamma="0" o:title="捕获2" r:id="rId15"/>
            <o:lock v:ext="edit" position="f" selection="f" grouping="f" rotation="f" cropping="f" text="f" aspectratio="t"/>
            <w10:wrap type="none"/>
            <w10:anchorlock/>
          </v:shape>
        </w:pict>
      </w:r>
      <w:r>
        <w:rPr>
          <w:rFonts w:hint="eastAsia" w:ascii="黑体" w:hAnsi="黑体" w:eastAsia="黑体" w:cs="黑体"/>
          <w:color w:val="C00000"/>
          <w:szCs w:val="28"/>
          <w:lang w:val="en-US" w:eastAsia="zh-CN"/>
        </w:rPr>
        <w:t xml:space="preserve">                                   </w:t>
      </w:r>
      <w:r>
        <w:rPr>
          <w:rFonts w:hint="eastAsia" w:ascii="黑体" w:hAnsi="黑体" w:eastAsia="黑体" w:cs="黑体"/>
          <w:color w:val="C00000"/>
          <w:szCs w:val="28"/>
        </w:rPr>
        <w:t>服务指南编号：04</w:t>
      </w:r>
      <w:r>
        <w:rPr>
          <w:rFonts w:ascii="黑体" w:hAnsi="黑体" w:eastAsia="黑体" w:cs="黑体"/>
          <w:color w:val="C00000"/>
          <w:szCs w:val="28"/>
        </w:rPr>
        <w:t>0</w:t>
      </w:r>
      <w:r>
        <w:rPr>
          <w:rFonts w:hint="eastAsia" w:ascii="黑体" w:hAnsi="黑体" w:eastAsia="黑体" w:cs="黑体"/>
          <w:color w:val="C00000"/>
          <w:szCs w:val="28"/>
          <w:lang w:val="en-US" w:eastAsia="zh-CN"/>
        </w:rPr>
        <w:t>34</w:t>
      </w: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0" w:firstLineChars="0"/>
        <w:jc w:val="center"/>
        <w:rPr>
          <w:rFonts w:hint="eastAsia" w:ascii="隶书" w:eastAsia="隶书"/>
          <w:b/>
          <w:bCs/>
          <w:sz w:val="48"/>
          <w:szCs w:val="48"/>
        </w:rPr>
      </w:pPr>
      <w:r>
        <w:rPr>
          <w:rFonts w:hint="eastAsia" w:ascii="隶书" w:eastAsia="隶书"/>
          <w:b/>
          <w:bCs/>
          <w:sz w:val="48"/>
          <w:szCs w:val="48"/>
        </w:rPr>
        <w:t>国内干线传输网（含广播电视网）以及其他涉及信息安全的电信基础设施</w:t>
      </w:r>
    </w:p>
    <w:p>
      <w:pPr>
        <w:ind w:firstLine="0" w:firstLineChars="0"/>
        <w:jc w:val="center"/>
        <w:rPr>
          <w:rFonts w:ascii="隶书" w:eastAsia="隶书"/>
          <w:b/>
          <w:bCs/>
          <w:sz w:val="48"/>
          <w:szCs w:val="48"/>
        </w:rPr>
      </w:pPr>
      <w:r>
        <w:rPr>
          <w:rFonts w:hint="eastAsia" w:ascii="隶书" w:eastAsia="隶书"/>
          <w:b/>
          <w:bCs/>
          <w:sz w:val="48"/>
          <w:szCs w:val="48"/>
        </w:rPr>
        <w:t>项目核准服务指南</w:t>
      </w: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rPr>
          <w:rFonts w:ascii="隶书" w:eastAsia="隶书"/>
          <w:sz w:val="48"/>
          <w:szCs w:val="48"/>
        </w:rPr>
      </w:pPr>
    </w:p>
    <w:p>
      <w:pPr>
        <w:ind w:firstLine="960"/>
        <w:jc w:val="center"/>
        <w:rPr>
          <w:rFonts w:ascii="隶书" w:eastAsia="隶书"/>
          <w:sz w:val="48"/>
          <w:szCs w:val="48"/>
        </w:rPr>
      </w:pPr>
    </w:p>
    <w:p>
      <w:pPr>
        <w:jc w:val="center"/>
        <w:rPr>
          <w:rFonts w:ascii="黑体" w:hAnsi="黑体" w:eastAsia="黑体" w:cs="黑体"/>
          <w:szCs w:val="28"/>
        </w:rPr>
      </w:pPr>
      <w:r>
        <w:rPr>
          <w:rFonts w:hint="eastAsia" w:ascii="黑体" w:hAnsi="黑体" w:eastAsia="黑体" w:cs="黑体"/>
          <w:szCs w:val="28"/>
        </w:rPr>
        <w:t>发布日期：201</w:t>
      </w:r>
      <w:r>
        <w:rPr>
          <w:rFonts w:hint="eastAsia" w:ascii="黑体" w:hAnsi="黑体" w:eastAsia="黑体" w:cs="黑体"/>
          <w:szCs w:val="28"/>
          <w:lang w:val="en-US" w:eastAsia="zh-CN"/>
        </w:rPr>
        <w:t>6</w:t>
      </w:r>
      <w:r>
        <w:rPr>
          <w:rFonts w:hint="eastAsia" w:ascii="黑体" w:hAnsi="黑体" w:eastAsia="黑体" w:cs="黑体"/>
          <w:szCs w:val="28"/>
        </w:rPr>
        <w:t>年</w:t>
      </w:r>
      <w:r>
        <w:rPr>
          <w:rFonts w:hint="eastAsia" w:ascii="黑体" w:hAnsi="黑体" w:eastAsia="黑体" w:cs="黑体"/>
          <w:szCs w:val="28"/>
          <w:lang w:val="en-US" w:eastAsia="zh-CN"/>
        </w:rPr>
        <w:t>12</w:t>
      </w:r>
      <w:r>
        <w:rPr>
          <w:rFonts w:hint="eastAsia" w:ascii="黑体" w:hAnsi="黑体" w:eastAsia="黑体" w:cs="黑体"/>
          <w:szCs w:val="28"/>
        </w:rPr>
        <w:t>月</w:t>
      </w:r>
      <w:r>
        <w:rPr>
          <w:rFonts w:hint="eastAsia" w:ascii="黑体" w:hAnsi="黑体" w:eastAsia="黑体" w:cs="黑体"/>
          <w:szCs w:val="28"/>
          <w:lang w:val="en-US" w:eastAsia="zh-CN"/>
        </w:rPr>
        <w:t>5</w:t>
      </w:r>
      <w:r>
        <w:rPr>
          <w:rFonts w:hint="eastAsia" w:ascii="黑体" w:hAnsi="黑体" w:eastAsia="黑体" w:cs="黑体"/>
          <w:szCs w:val="28"/>
        </w:rPr>
        <w:t>日</w:t>
      </w:r>
    </w:p>
    <w:p>
      <w:pPr>
        <w:jc w:val="center"/>
        <w:rPr>
          <w:rFonts w:ascii="黑体" w:hAnsi="黑体" w:eastAsia="黑体" w:cs="黑体"/>
          <w:szCs w:val="28"/>
        </w:rPr>
      </w:pPr>
      <w:r>
        <w:rPr>
          <w:rFonts w:hint="eastAsia" w:ascii="黑体" w:hAnsi="黑体" w:eastAsia="黑体" w:cs="黑体"/>
          <w:szCs w:val="28"/>
        </w:rPr>
        <w:t>实施日期：201</w:t>
      </w:r>
      <w:r>
        <w:rPr>
          <w:rFonts w:hint="eastAsia" w:ascii="黑体" w:hAnsi="黑体" w:eastAsia="黑体" w:cs="黑体"/>
          <w:szCs w:val="28"/>
          <w:lang w:val="en-US" w:eastAsia="zh-CN"/>
        </w:rPr>
        <w:t>6</w:t>
      </w:r>
      <w:r>
        <w:rPr>
          <w:rFonts w:hint="eastAsia" w:ascii="黑体" w:hAnsi="黑体" w:eastAsia="黑体" w:cs="黑体"/>
          <w:szCs w:val="28"/>
        </w:rPr>
        <w:t>年</w:t>
      </w:r>
      <w:r>
        <w:rPr>
          <w:rFonts w:hint="eastAsia" w:ascii="黑体" w:hAnsi="黑体" w:eastAsia="黑体" w:cs="黑体"/>
          <w:szCs w:val="28"/>
          <w:lang w:val="en-US" w:eastAsia="zh-CN"/>
        </w:rPr>
        <w:t>12</w:t>
      </w:r>
      <w:r>
        <w:rPr>
          <w:rFonts w:hint="eastAsia" w:ascii="黑体" w:hAnsi="黑体" w:eastAsia="黑体" w:cs="黑体"/>
          <w:szCs w:val="28"/>
        </w:rPr>
        <w:t>月</w:t>
      </w:r>
      <w:r>
        <w:rPr>
          <w:rFonts w:hint="eastAsia" w:ascii="黑体" w:hAnsi="黑体" w:eastAsia="黑体" w:cs="黑体"/>
          <w:szCs w:val="28"/>
          <w:lang w:val="en-US" w:eastAsia="zh-CN"/>
        </w:rPr>
        <w:t>5</w:t>
      </w:r>
      <w:r>
        <w:rPr>
          <w:rFonts w:hint="eastAsia" w:ascii="黑体" w:hAnsi="黑体" w:eastAsia="黑体" w:cs="黑体"/>
          <w:szCs w:val="28"/>
        </w:rPr>
        <w:t>日</w:t>
      </w:r>
    </w:p>
    <w:p>
      <w:pPr>
        <w:jc w:val="center"/>
        <w:rPr>
          <w:rFonts w:ascii="黑体" w:hAnsi="黑体" w:eastAsia="黑体" w:cs="黑体"/>
          <w:szCs w:val="28"/>
        </w:rPr>
      </w:pPr>
      <w:r>
        <w:rPr>
          <w:rFonts w:hint="eastAsia" w:ascii="黑体" w:hAnsi="黑体" w:eastAsia="黑体" w:cs="黑体"/>
          <w:szCs w:val="28"/>
        </w:rPr>
        <w:t>发布机构：工业和信息化部</w:t>
      </w:r>
      <w:r>
        <w:rPr>
          <w:rFonts w:hint="eastAsia" w:ascii="黑体" w:hAnsi="黑体" w:eastAsia="黑体" w:cs="黑体"/>
          <w:szCs w:val="28"/>
          <w:lang w:eastAsia="zh-CN"/>
        </w:rPr>
        <w:t>规划司</w:t>
      </w:r>
    </w:p>
    <w:p>
      <w:pPr>
        <w:ind w:firstLine="440"/>
        <w:jc w:val="center"/>
        <w:rPr>
          <w:sz w:val="22"/>
          <w:szCs w:val="24"/>
        </w:rPr>
      </w:pPr>
    </w:p>
    <w:p>
      <w:pPr>
        <w:pStyle w:val="13"/>
        <w:widowControl/>
        <w:spacing w:before="468" w:beforeAutospacing="0" w:after="376" w:afterAutospacing="0" w:line="525" w:lineRule="atLeast"/>
        <w:ind w:firstLine="0" w:firstLineChars="0"/>
        <w:jc w:val="both"/>
        <w:rPr>
          <w:rFonts w:ascii="华文仿宋" w:hAnsi="华文仿宋" w:cs="华文仿宋"/>
          <w:sz w:val="21"/>
          <w:szCs w:val="21"/>
        </w:rPr>
      </w:pPr>
    </w:p>
    <w:p>
      <w:pPr>
        <w:pStyle w:val="3"/>
        <w:numPr>
          <w:ilvl w:val="0"/>
          <w:numId w:val="3"/>
        </w:numPr>
        <w:spacing w:before="156"/>
        <w:ind w:firstLine="562"/>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start="1"/>
          <w:cols w:space="720" w:num="1"/>
          <w:titlePg/>
          <w:docGrid w:type="lines" w:linePitch="312" w:charSpace="0"/>
        </w:sectPr>
      </w:pPr>
    </w:p>
    <w:p>
      <w:pPr>
        <w:pStyle w:val="2"/>
        <w:spacing w:line="288" w:lineRule="auto"/>
        <w:ind w:firstLine="0" w:firstLineChars="0"/>
        <w:rPr>
          <w:rFonts w:hint="eastAsia" w:ascii="Times New Roman" w:hAnsi="Times New Roman" w:eastAsia="黑体" w:cs="Times New Roman"/>
          <w:b/>
          <w:kern w:val="44"/>
          <w:sz w:val="32"/>
          <w:szCs w:val="22"/>
          <w:lang w:val="en-US" w:eastAsia="zh-CN" w:bidi="ar-SA"/>
        </w:rPr>
      </w:pPr>
      <w:bookmarkStart w:id="0" w:name="_Toc27042"/>
      <w:bookmarkStart w:id="1" w:name="_Toc16066"/>
      <w:bookmarkStart w:id="2" w:name="_Toc22727"/>
      <w:bookmarkStart w:id="3" w:name="_Toc1334"/>
      <w:bookmarkStart w:id="4" w:name="_Toc561"/>
      <w:bookmarkStart w:id="5" w:name="_Toc7361"/>
      <w:bookmarkStart w:id="6" w:name="_Toc30509"/>
      <w:bookmarkStart w:id="7" w:name="_Toc14021"/>
      <w:bookmarkStart w:id="8" w:name="_Toc32727"/>
      <w:r>
        <w:rPr>
          <w:rFonts w:hint="eastAsia"/>
        </w:rPr>
        <w:t>目 录</w:t>
      </w:r>
      <w:bookmarkEnd w:id="0"/>
      <w:bookmarkEnd w:id="1"/>
      <w:bookmarkEnd w:id="2"/>
      <w:bookmarkEnd w:id="3"/>
      <w:bookmarkEnd w:id="4"/>
      <w:bookmarkEnd w:id="5"/>
      <w:bookmarkEnd w:id="6"/>
      <w:bookmarkEnd w:id="7"/>
      <w:bookmarkEnd w:id="8"/>
      <w:r>
        <w:rPr>
          <w:rFonts w:hint="eastAsia"/>
        </w:rPr>
        <w:fldChar w:fldCharType="begin"/>
      </w:r>
      <w:r>
        <w:rPr>
          <w:rFonts w:hint="eastAsia"/>
        </w:rPr>
        <w:instrText xml:space="preserve">TOC \o "1-3" \h \u </w:instrText>
      </w:r>
      <w:r>
        <w:rPr>
          <w:rFonts w:hint="eastAsia"/>
        </w:rPr>
        <w:fldChar w:fldCharType="separate"/>
      </w:r>
    </w:p>
    <w:p>
      <w:pPr>
        <w:pStyle w:val="11"/>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_Toc32727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目 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_Toc32727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_Toc25974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一、 </w:t>
      </w:r>
      <w:r>
        <w:rPr>
          <w:rFonts w:hint="eastAsia" w:ascii="Times New Roman" w:hAnsi="Times New Roman" w:eastAsia="黑体" w:cs="Times New Roman"/>
          <w:kern w:val="44"/>
          <w:szCs w:val="22"/>
          <w:lang w:val="en-US" w:eastAsia="zh-CN" w:bidi="ar-SA"/>
        </w:rPr>
        <w:t>适用范围</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_Toc25974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_Toc14114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 </w:t>
      </w:r>
      <w:r>
        <w:rPr>
          <w:rFonts w:hint="eastAsia" w:ascii="Times New Roman" w:hAnsi="Times New Roman" w:eastAsia="黑体" w:cs="Times New Roman"/>
          <w:kern w:val="44"/>
          <w:szCs w:val="22"/>
          <w:lang w:val="en-US" w:eastAsia="zh-CN" w:bidi="ar-SA"/>
        </w:rPr>
        <w:t>事项审查类型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_Toc14114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_Toc1782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三、 </w:t>
      </w:r>
      <w:r>
        <w:rPr>
          <w:rFonts w:hint="eastAsia" w:ascii="Times New Roman" w:hAnsi="Times New Roman" w:eastAsia="黑体" w:cs="Times New Roman"/>
          <w:kern w:val="44"/>
          <w:szCs w:val="22"/>
          <w:lang w:val="en-US" w:eastAsia="zh-CN" w:bidi="ar-SA"/>
        </w:rPr>
        <w:t>审批依据</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_Toc1782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_Toc9124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四、 </w:t>
      </w:r>
      <w:r>
        <w:rPr>
          <w:rFonts w:hint="eastAsia" w:ascii="Times New Roman" w:hAnsi="Times New Roman" w:eastAsia="黑体" w:cs="Times New Roman"/>
          <w:kern w:val="44"/>
          <w:szCs w:val="22"/>
          <w:lang w:val="en-US" w:eastAsia="zh-CN" w:bidi="ar-SA"/>
        </w:rPr>
        <w:t>受理机构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_Toc9124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_Toc22791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五、 </w:t>
      </w:r>
      <w:r>
        <w:rPr>
          <w:rFonts w:hint="eastAsia" w:ascii="Times New Roman" w:hAnsi="Times New Roman" w:eastAsia="黑体" w:cs="Times New Roman"/>
          <w:kern w:val="44"/>
          <w:szCs w:val="22"/>
          <w:lang w:val="en-US" w:eastAsia="zh-CN" w:bidi="ar-SA"/>
        </w:rPr>
        <w:t>决定机构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_Toc22791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_Toc18116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六、 </w:t>
      </w:r>
      <w:r>
        <w:rPr>
          <w:rFonts w:hint="eastAsia" w:ascii="Times New Roman" w:hAnsi="Times New Roman" w:eastAsia="黑体" w:cs="Times New Roman"/>
          <w:kern w:val="44"/>
          <w:szCs w:val="22"/>
          <w:lang w:val="en-US" w:eastAsia="zh-CN" w:bidi="ar-SA"/>
        </w:rPr>
        <w:t>数量限制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_Toc18116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_Toc845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七、 </w:t>
      </w:r>
      <w:r>
        <w:rPr>
          <w:rFonts w:hint="eastAsia" w:ascii="Times New Roman" w:hAnsi="Times New Roman" w:eastAsia="黑体" w:cs="Times New Roman"/>
          <w:kern w:val="44"/>
          <w:szCs w:val="22"/>
          <w:lang w:val="en-US" w:eastAsia="zh-CN" w:bidi="ar-SA"/>
        </w:rPr>
        <w:t>申请条件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_Toc845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_Toc28192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八、 </w:t>
      </w:r>
      <w:r>
        <w:rPr>
          <w:rFonts w:hint="eastAsia" w:ascii="Times New Roman" w:hAnsi="Times New Roman" w:eastAsia="黑体" w:cs="Times New Roman"/>
          <w:kern w:val="44"/>
          <w:szCs w:val="22"/>
          <w:lang w:val="en-US" w:eastAsia="zh-CN" w:bidi="ar-SA"/>
        </w:rPr>
        <w:t>禁止性要求</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_Toc28192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_Toc30541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九、 </w:t>
      </w:r>
      <w:r>
        <w:rPr>
          <w:rFonts w:hint="eastAsia" w:ascii="Times New Roman" w:hAnsi="Times New Roman" w:eastAsia="黑体" w:cs="Times New Roman"/>
          <w:kern w:val="44"/>
          <w:szCs w:val="22"/>
          <w:lang w:val="en-US" w:eastAsia="zh-CN" w:bidi="ar-SA"/>
        </w:rPr>
        <w:t>申请材料目录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_Toc30541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_Toc15878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 </w:t>
      </w:r>
      <w:r>
        <w:rPr>
          <w:rFonts w:hint="eastAsia" w:ascii="Times New Roman" w:hAnsi="Times New Roman" w:eastAsia="黑体" w:cs="Times New Roman"/>
          <w:kern w:val="44"/>
          <w:szCs w:val="22"/>
          <w:lang w:val="en-US" w:eastAsia="zh-CN" w:bidi="ar-SA"/>
        </w:rPr>
        <w:t>申请接收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_Toc15878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_Toc17810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十一、 </w:t>
      </w:r>
      <w:r>
        <w:rPr>
          <w:rFonts w:hint="eastAsia" w:ascii="Times New Roman" w:hAnsi="Times New Roman" w:eastAsia="黑体" w:cs="Times New Roman"/>
          <w:kern w:val="44"/>
          <w:szCs w:val="22"/>
          <w:lang w:val="en-US" w:eastAsia="zh-CN" w:bidi="ar-SA"/>
        </w:rPr>
        <w:t>办理基本流程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_Toc17810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_Toc21626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十二、 </w:t>
      </w:r>
      <w:r>
        <w:rPr>
          <w:rFonts w:hint="eastAsia" w:ascii="Times New Roman" w:hAnsi="Times New Roman" w:eastAsia="黑体" w:cs="Times New Roman"/>
          <w:kern w:val="44"/>
          <w:szCs w:val="22"/>
          <w:lang w:val="en-US" w:eastAsia="zh-CN" w:bidi="ar-SA"/>
        </w:rPr>
        <w:t>办理方式</w:t>
      </w:r>
      <w:bookmarkStart w:id="43" w:name="_GoBack"/>
      <w:bookmarkEnd w:id="43"/>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_Toc21626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_Toc19723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十三、 </w:t>
      </w:r>
      <w:r>
        <w:rPr>
          <w:rFonts w:hint="eastAsia" w:ascii="Times New Roman" w:hAnsi="Times New Roman" w:eastAsia="黑体" w:cs="Times New Roman"/>
          <w:kern w:val="44"/>
          <w:szCs w:val="22"/>
          <w:lang w:val="en-US" w:eastAsia="zh-CN" w:bidi="ar-SA"/>
        </w:rPr>
        <w:t>办理时限</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_Toc19723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_Toc29099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十四、 </w:t>
      </w:r>
      <w:r>
        <w:rPr>
          <w:rFonts w:hint="eastAsia" w:ascii="Times New Roman" w:hAnsi="Times New Roman" w:eastAsia="黑体" w:cs="Times New Roman"/>
          <w:kern w:val="44"/>
          <w:szCs w:val="22"/>
          <w:lang w:val="en-US" w:eastAsia="zh-CN" w:bidi="ar-SA"/>
        </w:rPr>
        <w:t>收费标准</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_Toc29099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_Toc7747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十五、 </w:t>
      </w:r>
      <w:r>
        <w:rPr>
          <w:rFonts w:hint="eastAsia" w:ascii="Times New Roman" w:hAnsi="Times New Roman" w:eastAsia="黑体" w:cs="Times New Roman"/>
          <w:kern w:val="44"/>
          <w:szCs w:val="22"/>
          <w:lang w:val="en-US" w:eastAsia="zh-CN" w:bidi="ar-SA"/>
        </w:rPr>
        <w:t>审批结果</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_Toc7747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_Toc14530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十六、 </w:t>
      </w:r>
      <w:r>
        <w:rPr>
          <w:rFonts w:hint="eastAsia" w:ascii="Times New Roman" w:hAnsi="Times New Roman" w:eastAsia="黑体" w:cs="Times New Roman"/>
          <w:kern w:val="44"/>
          <w:szCs w:val="22"/>
          <w:lang w:val="en-US" w:eastAsia="zh-CN" w:bidi="ar-SA"/>
        </w:rPr>
        <w:t>结果送达</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_Toc14530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7</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_Toc31070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十七、 </w:t>
      </w:r>
      <w:r>
        <w:rPr>
          <w:rFonts w:hint="eastAsia" w:ascii="Times New Roman" w:hAnsi="Times New Roman" w:eastAsia="黑体" w:cs="Times New Roman"/>
          <w:kern w:val="44"/>
          <w:szCs w:val="22"/>
          <w:lang w:val="en-US" w:eastAsia="zh-CN" w:bidi="ar-SA"/>
        </w:rPr>
        <w:t>行政相对人权利和义务</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_Toc31070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7</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_Toc29806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十八、 </w:t>
      </w:r>
      <w:r>
        <w:rPr>
          <w:rFonts w:hint="eastAsia" w:ascii="Times New Roman" w:hAnsi="Times New Roman" w:eastAsia="黑体" w:cs="Times New Roman"/>
          <w:kern w:val="44"/>
          <w:szCs w:val="22"/>
          <w:lang w:val="en-US" w:eastAsia="zh-CN" w:bidi="ar-SA"/>
        </w:rPr>
        <w:t>咨询途径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_Toc29806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_Toc17668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十九、 </w:t>
      </w:r>
      <w:r>
        <w:rPr>
          <w:rFonts w:hint="eastAsia" w:ascii="Times New Roman" w:hAnsi="Times New Roman" w:eastAsia="黑体" w:cs="Times New Roman"/>
          <w:kern w:val="44"/>
          <w:szCs w:val="22"/>
          <w:lang w:val="en-US" w:eastAsia="zh-CN" w:bidi="ar-SA"/>
        </w:rPr>
        <w:t>监督投诉渠道</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_Toc17668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_Toc25760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二十、 </w:t>
      </w:r>
      <w:r>
        <w:rPr>
          <w:rFonts w:hint="eastAsia" w:ascii="Times New Roman" w:hAnsi="Times New Roman" w:eastAsia="黑体" w:cs="Times New Roman"/>
          <w:kern w:val="44"/>
          <w:szCs w:val="22"/>
          <w:lang w:val="en-US" w:eastAsia="zh-CN" w:bidi="ar-SA"/>
        </w:rPr>
        <w:t>办公地址和时间</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_Toc25760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_Toc3488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二十一、 </w:t>
      </w:r>
      <w:r>
        <w:rPr>
          <w:rFonts w:hint="eastAsia" w:ascii="Times New Roman" w:hAnsi="Times New Roman" w:eastAsia="黑体" w:cs="Times New Roman"/>
          <w:kern w:val="44"/>
          <w:szCs w:val="22"/>
          <w:lang w:val="en-US" w:eastAsia="zh-CN" w:bidi="ar-SA"/>
        </w:rPr>
        <w:t>办理进程和结果公开查询</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_Toc3488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1"/>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_Toc1873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_Toc1873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_Toc22431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附录一：流程图</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_Toc22431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_Toc7238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附录二：省际干线传输网发展规划示范文本</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_Toc7238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_Toc9357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附录三：常见错误示例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_Toc9357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_Toc25650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附录四：常见问题解答</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_Toc25650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2"/>
        <w:spacing w:line="288" w:lineRule="auto"/>
        <w:ind w:firstLine="643" w:firstLineChars="0"/>
        <w:sectPr>
          <w:headerReference r:id="rId10" w:type="default"/>
          <w:footerReference r:id="rId11" w:type="default"/>
          <w:pgSz w:w="11906" w:h="16838"/>
          <w:pgMar w:top="1440" w:right="1800" w:bottom="1440" w:left="1800" w:header="851" w:footer="992" w:gutter="0"/>
          <w:cols w:space="720" w:num="1"/>
          <w:docGrid w:type="lines" w:linePitch="312" w:charSpace="0"/>
        </w:sectPr>
      </w:pPr>
      <w:r>
        <w:rPr>
          <w:rFonts w:hint="eastAsia"/>
        </w:rPr>
        <w:fldChar w:fldCharType="end"/>
      </w:r>
    </w:p>
    <w:p>
      <w:pPr>
        <w:jc w:val="center"/>
        <w:rPr>
          <w:rFonts w:hint="eastAsia" w:ascii="黑体" w:hAnsi="黑体" w:eastAsia="黑体" w:cs="黑体"/>
          <w:b/>
          <w:bCs/>
          <w:sz w:val="32"/>
          <w:szCs w:val="32"/>
        </w:rPr>
      </w:pPr>
      <w:bookmarkStart w:id="9" w:name="_Toc8738"/>
      <w:bookmarkStart w:id="10" w:name="_Toc21156"/>
      <w:bookmarkStart w:id="11" w:name="_Toc2929"/>
      <w:bookmarkStart w:id="12" w:name="_Toc23357"/>
      <w:bookmarkStart w:id="13" w:name="_Toc9395"/>
      <w:bookmarkStart w:id="14" w:name="_Toc12611"/>
      <w:bookmarkStart w:id="15" w:name="_Toc729"/>
      <w:r>
        <w:rPr>
          <w:rFonts w:hint="eastAsia" w:ascii="黑体" w:hAnsi="黑体" w:eastAsia="黑体" w:cs="黑体"/>
          <w:b/>
          <w:bCs/>
          <w:sz w:val="32"/>
          <w:szCs w:val="32"/>
        </w:rPr>
        <w:t>国内干线传输网（含广播电视网）以及其他涉及信息安全的电信基础设施项目核准服务指南</w:t>
      </w:r>
      <w:bookmarkEnd w:id="9"/>
      <w:bookmarkEnd w:id="10"/>
      <w:bookmarkEnd w:id="11"/>
      <w:bookmarkEnd w:id="12"/>
      <w:bookmarkEnd w:id="13"/>
      <w:bookmarkEnd w:id="14"/>
      <w:bookmarkEnd w:id="15"/>
    </w:p>
    <w:p>
      <w:pPr>
        <w:pStyle w:val="3"/>
        <w:numPr>
          <w:ilvl w:val="0"/>
          <w:numId w:val="4"/>
        </w:numPr>
        <w:spacing w:before="156"/>
        <w:ind w:firstLine="562"/>
      </w:pPr>
      <w:bookmarkStart w:id="16" w:name="_Toc25974"/>
      <w:r>
        <w:rPr>
          <w:rFonts w:hint="eastAsia"/>
        </w:rPr>
        <w:t>适用范围</w:t>
      </w:r>
      <w:bookmarkEnd w:id="16"/>
    </w:p>
    <w:p>
      <w:pPr>
        <w:rPr>
          <w:rFonts w:hint="default"/>
        </w:rPr>
      </w:pPr>
      <w:r>
        <w:rPr>
          <w:rFonts w:hint="default"/>
        </w:rPr>
        <w:t>本服务指南规定了国内干线传输网（含广播电视网）以及其他涉及信息安全的电信基础设施项目行政许可的申请和办理要求，从而便于申请人提前了解事项的办理流程等。</w:t>
      </w:r>
    </w:p>
    <w:p>
      <w:pPr>
        <w:rPr>
          <w:rFonts w:hint="default"/>
        </w:rPr>
      </w:pPr>
      <w:r>
        <w:rPr>
          <w:rFonts w:hint="default"/>
        </w:rPr>
        <w:t>本服务指南</w:t>
      </w:r>
      <w:r>
        <w:rPr>
          <w:rFonts w:hint="eastAsia"/>
        </w:rPr>
        <w:t>适用于</w:t>
      </w:r>
      <w:r>
        <w:rPr>
          <w:rFonts w:hint="default"/>
        </w:rPr>
        <w:t>国内干线传输网（含广播电视网）以及其他涉及信息安全的电信基础设施项目行政许可申请人和受理人参考。</w:t>
      </w:r>
    </w:p>
    <w:p>
      <w:r>
        <w:rPr>
          <w:rFonts w:hint="default"/>
        </w:rPr>
        <w:t>本行政许可申请人为</w:t>
      </w:r>
      <w:r>
        <w:rPr>
          <w:rFonts w:hint="eastAsia"/>
        </w:rPr>
        <w:t>有基础电信业务经营许可的电信运营企业</w:t>
      </w:r>
      <w:r>
        <w:rPr>
          <w:rFonts w:hint="eastAsia"/>
          <w:lang w:eastAsia="zh-CN"/>
        </w:rPr>
        <w:t>、</w:t>
      </w:r>
      <w:r>
        <w:rPr>
          <w:rFonts w:hint="eastAsia"/>
        </w:rPr>
        <w:t>专用电信网建设企业</w:t>
      </w:r>
      <w:r>
        <w:rPr>
          <w:rFonts w:hint="eastAsia"/>
          <w:lang w:eastAsia="zh-CN"/>
        </w:rPr>
        <w:t>、</w:t>
      </w:r>
      <w:r>
        <w:rPr>
          <w:rFonts w:hint="eastAsia"/>
        </w:rPr>
        <w:t>广播电视传输网建设企业</w:t>
      </w:r>
      <w:r>
        <w:rPr>
          <w:rFonts w:hint="eastAsia"/>
          <w:lang w:eastAsia="zh-CN"/>
        </w:rPr>
        <w:t>、</w:t>
      </w:r>
      <w:r>
        <w:rPr>
          <w:rFonts w:hint="eastAsia"/>
        </w:rPr>
        <w:t>其他与涉及信息安全的电信基础设施相关的企业。</w:t>
      </w:r>
    </w:p>
    <w:p>
      <w:pPr>
        <w:pStyle w:val="3"/>
        <w:numPr>
          <w:ilvl w:val="0"/>
          <w:numId w:val="4"/>
        </w:numPr>
        <w:spacing w:before="156"/>
        <w:ind w:firstLine="562"/>
      </w:pPr>
      <w:bookmarkStart w:id="17" w:name="_Toc14114"/>
      <w:r>
        <w:rPr>
          <w:rFonts w:hint="eastAsia"/>
        </w:rPr>
        <w:t>事项审查类型</w:t>
      </w:r>
      <w:bookmarkEnd w:id="17"/>
    </w:p>
    <w:p>
      <w:r>
        <w:rPr>
          <w:rFonts w:hint="eastAsia"/>
        </w:rPr>
        <w:t>该事项的审查类型是：前审后批型。</w:t>
      </w:r>
    </w:p>
    <w:p>
      <w:pPr>
        <w:pStyle w:val="3"/>
        <w:numPr>
          <w:ilvl w:val="0"/>
          <w:numId w:val="4"/>
        </w:numPr>
        <w:spacing w:before="156"/>
        <w:ind w:firstLine="562"/>
      </w:pPr>
      <w:bookmarkStart w:id="18" w:name="_Toc1782"/>
      <w:r>
        <w:rPr>
          <w:rFonts w:hint="eastAsia"/>
        </w:rPr>
        <w:t>审批依据</w:t>
      </w:r>
      <w:bookmarkEnd w:id="18"/>
    </w:p>
    <w:p>
      <w:r>
        <w:rPr>
          <w:rFonts w:hint="eastAsia"/>
          <w:lang w:eastAsia="zh-CN"/>
        </w:rPr>
        <w:t>《</w:t>
      </w:r>
      <w:r>
        <w:rPr>
          <w:rFonts w:hint="eastAsia"/>
        </w:rPr>
        <w:t>国务院关于发布政府核准的投资项目目录（2016年本）的通知</w:t>
      </w:r>
      <w:r>
        <w:rPr>
          <w:rFonts w:hint="eastAsia"/>
          <w:lang w:eastAsia="zh-CN"/>
        </w:rPr>
        <w:t>》（</w:t>
      </w:r>
      <w:r>
        <w:rPr>
          <w:rFonts w:hint="eastAsia"/>
        </w:rPr>
        <w:t>国发〔2016〕72号</w:t>
      </w:r>
      <w:r>
        <w:rPr>
          <w:rFonts w:hint="eastAsia"/>
          <w:lang w:eastAsia="zh-CN"/>
        </w:rPr>
        <w:t>）第四条</w:t>
      </w:r>
      <w:r>
        <w:rPr>
          <w:rFonts w:hint="eastAsia"/>
        </w:rPr>
        <w:t>。</w:t>
      </w:r>
    </w:p>
    <w:p>
      <w:pPr>
        <w:pStyle w:val="3"/>
        <w:numPr>
          <w:ilvl w:val="0"/>
          <w:numId w:val="4"/>
        </w:numPr>
        <w:spacing w:before="156"/>
        <w:ind w:firstLine="562"/>
      </w:pPr>
      <w:bookmarkStart w:id="19" w:name="_Toc9124"/>
      <w:r>
        <w:rPr>
          <w:rFonts w:hint="eastAsia"/>
        </w:rPr>
        <w:t>受理机构</w:t>
      </w:r>
      <w:bookmarkEnd w:id="19"/>
    </w:p>
    <w:p>
      <w:r>
        <w:rPr>
          <w:rFonts w:hint="eastAsia"/>
        </w:rPr>
        <w:t>工业和信息化部</w:t>
      </w:r>
      <w:r>
        <w:rPr>
          <w:rFonts w:hint="eastAsia"/>
          <w:lang w:eastAsia="zh-CN"/>
        </w:rPr>
        <w:t>规划司</w:t>
      </w:r>
    </w:p>
    <w:p>
      <w:pPr>
        <w:pStyle w:val="3"/>
        <w:numPr>
          <w:ilvl w:val="0"/>
          <w:numId w:val="4"/>
        </w:numPr>
        <w:spacing w:before="156"/>
        <w:ind w:firstLine="562"/>
      </w:pPr>
      <w:bookmarkStart w:id="20" w:name="_Toc22791"/>
      <w:r>
        <w:rPr>
          <w:rFonts w:hint="eastAsia"/>
        </w:rPr>
        <w:t>决定机构</w:t>
      </w:r>
      <w:bookmarkEnd w:id="20"/>
    </w:p>
    <w:p>
      <w:r>
        <w:rPr>
          <w:rFonts w:hint="eastAsia"/>
        </w:rPr>
        <w:t>工业和信息化部</w:t>
      </w:r>
    </w:p>
    <w:p>
      <w:pPr>
        <w:pStyle w:val="3"/>
        <w:numPr>
          <w:ilvl w:val="0"/>
          <w:numId w:val="4"/>
        </w:numPr>
        <w:spacing w:before="156"/>
        <w:ind w:firstLine="562"/>
      </w:pPr>
      <w:bookmarkStart w:id="21" w:name="_Toc18116"/>
      <w:r>
        <w:rPr>
          <w:rFonts w:hint="eastAsia"/>
        </w:rPr>
        <w:t>数量限制</w:t>
      </w:r>
      <w:bookmarkEnd w:id="21"/>
    </w:p>
    <w:p>
      <w:r>
        <w:rPr>
          <w:rFonts w:hint="eastAsia"/>
        </w:rPr>
        <w:t>本</w:t>
      </w:r>
      <w:r>
        <w:rPr>
          <w:rFonts w:hint="eastAsia"/>
          <w:lang w:eastAsia="zh-CN"/>
        </w:rPr>
        <w:t>行政许可</w:t>
      </w:r>
      <w:r>
        <w:rPr>
          <w:rFonts w:hint="eastAsia"/>
        </w:rPr>
        <w:t>事项无数量限制。</w:t>
      </w:r>
    </w:p>
    <w:p>
      <w:pPr>
        <w:pStyle w:val="3"/>
        <w:numPr>
          <w:ilvl w:val="0"/>
          <w:numId w:val="4"/>
        </w:numPr>
        <w:spacing w:before="156"/>
        <w:ind w:firstLine="562"/>
      </w:pPr>
      <w:bookmarkStart w:id="22" w:name="_Toc845"/>
      <w:r>
        <w:rPr>
          <w:rFonts w:hint="eastAsia"/>
        </w:rPr>
        <w:t>申请条件</w:t>
      </w:r>
      <w:bookmarkEnd w:id="22"/>
    </w:p>
    <w:p>
      <w:pPr>
        <w:rPr>
          <w:rFonts w:hint="eastAsia"/>
          <w:color w:val="000000"/>
        </w:rPr>
      </w:pPr>
      <w:r>
        <w:rPr>
          <w:rFonts w:hint="eastAsia"/>
          <w:color w:val="000000"/>
          <w:lang w:eastAsia="zh-CN"/>
        </w:rPr>
        <w:t>（一）</w:t>
      </w:r>
      <w:r>
        <w:rPr>
          <w:rFonts w:hint="eastAsia"/>
          <w:color w:val="000000"/>
        </w:rPr>
        <w:t>获得基础电信业务经营许可</w:t>
      </w:r>
      <w:r>
        <w:rPr>
          <w:rFonts w:hint="default"/>
          <w:color w:val="000000"/>
        </w:rPr>
        <w:t>（限公用电信网）</w:t>
      </w:r>
      <w:r>
        <w:rPr>
          <w:rFonts w:hint="eastAsia"/>
          <w:color w:val="000000"/>
        </w:rPr>
        <w:t>；</w:t>
      </w:r>
    </w:p>
    <w:p>
      <w:pPr>
        <w:rPr>
          <w:rFonts w:hint="eastAsia"/>
          <w:color w:val="000000"/>
          <w:lang w:eastAsia="zh-CN"/>
        </w:rPr>
      </w:pPr>
      <w:r>
        <w:rPr>
          <w:rFonts w:hint="eastAsia"/>
          <w:color w:val="000000"/>
          <w:lang w:eastAsia="zh-CN"/>
        </w:rPr>
        <w:t>（二）</w:t>
      </w:r>
      <w:r>
        <w:rPr>
          <w:rFonts w:hint="eastAsia"/>
          <w:color w:val="000000"/>
        </w:rPr>
        <w:t>符合国家法律法规</w:t>
      </w:r>
      <w:r>
        <w:rPr>
          <w:rFonts w:hint="eastAsia"/>
          <w:color w:val="000000"/>
          <w:lang w:eastAsia="zh-CN"/>
        </w:rPr>
        <w:t>；</w:t>
      </w:r>
    </w:p>
    <w:p>
      <w:pPr>
        <w:rPr>
          <w:rFonts w:hint="eastAsia"/>
          <w:color w:val="000000"/>
        </w:rPr>
      </w:pPr>
      <w:r>
        <w:rPr>
          <w:rFonts w:hint="eastAsia"/>
          <w:color w:val="000000"/>
        </w:rPr>
        <w:t>（三）行业发展规划、产业政策、技术政策和准入标准；</w:t>
      </w:r>
    </w:p>
    <w:p>
      <w:pPr>
        <w:ind w:left="0" w:leftChars="0" w:firstLine="0" w:firstLineChars="0"/>
        <w:rPr>
          <w:rFonts w:hint="eastAsia"/>
          <w:color w:val="000000"/>
        </w:rPr>
      </w:pPr>
      <w:r>
        <w:rPr>
          <w:rFonts w:hint="eastAsia"/>
          <w:color w:val="000000"/>
        </w:rPr>
        <w:t>　　（四）</w:t>
      </w:r>
      <w:r>
        <w:rPr>
          <w:rFonts w:hint="eastAsia"/>
          <w:color w:val="000000"/>
          <w:lang w:eastAsia="zh-CN"/>
        </w:rPr>
        <w:t>符合</w:t>
      </w:r>
      <w:r>
        <w:rPr>
          <w:rFonts w:hint="eastAsia"/>
          <w:color w:val="000000"/>
        </w:rPr>
        <w:t>国家宏观调控政策；</w:t>
      </w:r>
    </w:p>
    <w:p>
      <w:pPr>
        <w:rPr>
          <w:rFonts w:hint="eastAsia"/>
          <w:color w:val="000000"/>
        </w:rPr>
      </w:pPr>
      <w:r>
        <w:rPr>
          <w:rFonts w:hint="eastAsia"/>
          <w:color w:val="000000"/>
        </w:rPr>
        <w:t>（五）是否影响国家安全、经济安全和生态安全；</w:t>
      </w:r>
    </w:p>
    <w:p>
      <w:pPr>
        <w:rPr>
          <w:rFonts w:hint="eastAsia"/>
          <w:color w:val="000000"/>
        </w:rPr>
      </w:pPr>
      <w:r>
        <w:rPr>
          <w:rFonts w:hint="eastAsia"/>
          <w:color w:val="000000"/>
        </w:rPr>
        <w:t>（六）是否对公众利益，特别是项目建设地的公众利益产生重大不利影响。</w:t>
      </w:r>
      <w:r>
        <w:rPr>
          <w:rFonts w:hint="default"/>
          <w:color w:val="000000"/>
        </w:rPr>
        <w:t xml:space="preserve"> </w:t>
      </w:r>
    </w:p>
    <w:p>
      <w:pPr>
        <w:pStyle w:val="3"/>
        <w:numPr>
          <w:ilvl w:val="0"/>
          <w:numId w:val="4"/>
        </w:numPr>
        <w:spacing w:before="156"/>
        <w:ind w:firstLine="562"/>
      </w:pPr>
      <w:bookmarkStart w:id="23" w:name="_Toc28192"/>
      <w:r>
        <w:rPr>
          <w:rFonts w:hint="eastAsia"/>
        </w:rPr>
        <w:t>禁止性要求</w:t>
      </w:r>
      <w:bookmarkEnd w:id="23"/>
    </w:p>
    <w:p>
      <w:pPr>
        <w:rPr>
          <w:color w:val="000000"/>
        </w:rPr>
      </w:pPr>
      <w:r>
        <w:rPr>
          <w:rFonts w:hint="eastAsia"/>
          <w:color w:val="000000"/>
        </w:rPr>
        <w:t>遇有如下情况，可不予接受企业的申请材料：</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color w:val="000000"/>
          <w:lang w:eastAsia="zh-CN"/>
        </w:rPr>
        <w:t>（一）</w:t>
      </w:r>
      <w:r>
        <w:rPr>
          <w:rFonts w:hint="eastAsia"/>
        </w:rPr>
        <w:t>业务种类</w:t>
      </w:r>
      <w:r>
        <w:rPr>
          <w:rFonts w:hint="eastAsia"/>
          <w:lang w:eastAsia="zh-CN"/>
        </w:rPr>
        <w:t>：不属于国内干线传输网（含广播电视网）以及其他涉及信息安全的电信基础设施范畴。</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color w:val="000000"/>
          <w:lang w:eastAsia="zh-CN"/>
        </w:rPr>
        <w:t>（二）</w:t>
      </w:r>
      <w:r>
        <w:rPr>
          <w:rFonts w:hint="eastAsia"/>
        </w:rPr>
        <w:t>申请企业：</w:t>
      </w:r>
      <w:r>
        <w:rPr>
          <w:rFonts w:hint="eastAsia"/>
          <w:lang w:eastAsia="zh-CN"/>
        </w:rPr>
        <w:t>未</w:t>
      </w:r>
      <w:r>
        <w:rPr>
          <w:rFonts w:hint="eastAsia"/>
        </w:rPr>
        <w:t>获得基础电信业务经营许可</w:t>
      </w:r>
      <w:r>
        <w:rPr>
          <w:rFonts w:hint="default"/>
        </w:rPr>
        <w:t>申请建设公用电信网</w:t>
      </w:r>
      <w:r>
        <w:rPr>
          <w:rFonts w:hint="eastAsia"/>
          <w:lang w:eastAsia="zh-CN"/>
        </w:rPr>
        <w:t>的企业。</w:t>
      </w:r>
    </w:p>
    <w:p>
      <w:pPr>
        <w:pStyle w:val="3"/>
        <w:numPr>
          <w:ilvl w:val="0"/>
          <w:numId w:val="4"/>
        </w:numPr>
        <w:spacing w:before="156"/>
        <w:ind w:firstLine="562"/>
      </w:pPr>
      <w:bookmarkStart w:id="24" w:name="_Toc30541"/>
      <w:r>
        <w:rPr>
          <w:rFonts w:hint="eastAsia"/>
        </w:rPr>
        <w:t>申请材料目录</w:t>
      </w:r>
      <w:bookmarkEnd w:id="24"/>
    </w:p>
    <w:p>
      <w:pPr>
        <w:rPr>
          <w:rFonts w:hint="eastAsia"/>
          <w:color w:val="000000"/>
        </w:rPr>
      </w:pPr>
      <w:r>
        <w:rPr>
          <w:rFonts w:hint="eastAsia"/>
          <w:color w:val="000000"/>
        </w:rPr>
        <w:t>（</w:t>
      </w:r>
      <w:r>
        <w:rPr>
          <w:rFonts w:hint="eastAsia"/>
          <w:color w:val="000000"/>
          <w:lang w:eastAsia="zh-CN"/>
        </w:rPr>
        <w:t>一</w:t>
      </w:r>
      <w:r>
        <w:rPr>
          <w:rFonts w:hint="eastAsia"/>
          <w:color w:val="000000"/>
        </w:rPr>
        <w:t>）</w:t>
      </w:r>
      <w:r>
        <w:rPr>
          <w:rFonts w:hint="eastAsia"/>
        </w:rPr>
        <w:t>企业申请</w:t>
      </w:r>
      <w:r>
        <w:rPr>
          <w:rFonts w:hint="eastAsia"/>
          <w:color w:val="000000"/>
        </w:rPr>
        <w:t xml:space="preserve">国内干线传输网项目核准应提交下列材料（含电子文档）：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1、项目申报单位情况；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2、申请人传输网现状（包括路由图、上一年度传输网建设项目完成情况）；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3、本年度传输网项目建设计划（含路由、距离、容量、投资以及资金来源等）；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4、本年度传输网建设路由图；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5、国内干线传输网三年滚动规划。</w:t>
      </w:r>
    </w:p>
    <w:p>
      <w:pPr>
        <w:rPr>
          <w:rFonts w:hint="eastAsia"/>
          <w:color w:val="000000"/>
        </w:rPr>
      </w:pPr>
      <w:r>
        <w:rPr>
          <w:rFonts w:hint="eastAsia"/>
          <w:color w:val="000000"/>
        </w:rPr>
        <w:t>　（</w:t>
      </w:r>
      <w:r>
        <w:rPr>
          <w:rFonts w:hint="eastAsia"/>
          <w:color w:val="000000"/>
          <w:lang w:eastAsia="zh-CN"/>
        </w:rPr>
        <w:t>二</w:t>
      </w:r>
      <w:r>
        <w:rPr>
          <w:rFonts w:hint="eastAsia"/>
          <w:color w:val="000000"/>
        </w:rPr>
        <w:t>）</w:t>
      </w:r>
      <w:r>
        <w:rPr>
          <w:rFonts w:hint="eastAsia"/>
        </w:rPr>
        <w:t>企业申请</w:t>
      </w:r>
      <w:r>
        <w:rPr>
          <w:rFonts w:hint="eastAsia"/>
          <w:color w:val="000000"/>
        </w:rPr>
        <w:t xml:space="preserve">涉及信息安全的电信基础设施项目核准应提交下列材料（含电子文档）：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1、项目申报单位情况；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2、项目</w:t>
      </w:r>
      <w:r>
        <w:rPr>
          <w:rFonts w:hint="eastAsia"/>
          <w:color w:val="000000"/>
          <w:lang w:eastAsia="zh-CN"/>
        </w:rPr>
        <w:t>申请报告</w:t>
      </w:r>
      <w:r>
        <w:rPr>
          <w:rFonts w:hint="eastAsia"/>
          <w:color w:val="000000"/>
        </w:rPr>
        <w:t>。</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此外，应根据国家法律法规的规定附送以下文件：</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1、城乡规划行政主管部门出具的选址意见书（仅指以划拨方式提供国有土地使用权的项目）；</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xml:space="preserve">　　2、国土资源行政主管部门出具的项目用地预审意见（不涉及新增用地，在已批准的建设用地范围内进行改扩建的项目，可以不进行用地预审）；   </w:t>
      </w:r>
    </w:p>
    <w:p>
      <w:pPr>
        <w:widowControl w:val="0"/>
        <w:wordWrap/>
        <w:adjustRightInd/>
        <w:snapToGrid/>
        <w:spacing w:line="288" w:lineRule="auto"/>
        <w:ind w:left="0" w:leftChars="0" w:right="0" w:firstLine="0" w:firstLineChars="0"/>
        <w:jc w:val="both"/>
        <w:textAlignment w:val="auto"/>
        <w:outlineLvl w:val="9"/>
        <w:rPr>
          <w:rFonts w:hint="eastAsia"/>
          <w:color w:val="000000"/>
        </w:rPr>
      </w:pPr>
      <w:r>
        <w:rPr>
          <w:rFonts w:hint="eastAsia"/>
          <w:color w:val="000000"/>
        </w:rPr>
        <w:t>　</w:t>
      </w:r>
      <w:r>
        <w:rPr>
          <w:rFonts w:hint="eastAsia"/>
          <w:color w:val="000000"/>
          <w:lang w:val="en-US" w:eastAsia="zh-CN"/>
        </w:rPr>
        <w:t xml:space="preserve">  3</w:t>
      </w:r>
      <w:r>
        <w:rPr>
          <w:rFonts w:hint="eastAsia"/>
          <w:color w:val="000000"/>
        </w:rPr>
        <w:t>、节能审查机关出具的节能审查意见；</w:t>
      </w:r>
    </w:p>
    <w:p>
      <w:pPr>
        <w:widowControl w:val="0"/>
        <w:wordWrap/>
        <w:adjustRightInd/>
        <w:snapToGrid/>
        <w:spacing w:line="288" w:lineRule="auto"/>
        <w:ind w:left="0" w:leftChars="0" w:right="0" w:firstLine="560" w:firstLineChars="0"/>
        <w:jc w:val="both"/>
        <w:textAlignment w:val="auto"/>
        <w:outlineLvl w:val="9"/>
        <w:rPr>
          <w:rFonts w:hint="eastAsia"/>
          <w:color w:val="000000"/>
        </w:rPr>
      </w:pPr>
      <w:r>
        <w:rPr>
          <w:rFonts w:hint="eastAsia"/>
          <w:color w:val="000000"/>
          <w:lang w:val="en-US" w:eastAsia="zh-CN"/>
        </w:rPr>
        <w:t>4</w:t>
      </w:r>
      <w:r>
        <w:rPr>
          <w:rFonts w:hint="eastAsia"/>
          <w:color w:val="000000"/>
        </w:rPr>
        <w:t>、根据有关法律法规的规定应当提交的其他文件。</w:t>
      </w:r>
    </w:p>
    <w:p>
      <w:pPr>
        <w:pStyle w:val="3"/>
        <w:numPr>
          <w:ilvl w:val="0"/>
          <w:numId w:val="4"/>
        </w:numPr>
        <w:spacing w:before="156"/>
        <w:ind w:firstLine="562"/>
      </w:pPr>
      <w:bookmarkStart w:id="25" w:name="_Toc15878"/>
      <w:r>
        <w:rPr>
          <w:rFonts w:hint="eastAsia"/>
        </w:rPr>
        <w:t>申请接收</w:t>
      </w:r>
      <w:bookmarkEnd w:id="25"/>
    </w:p>
    <w:p>
      <w:pPr>
        <w:numPr>
          <w:numId w:val="0"/>
        </w:numPr>
      </w:pPr>
      <w:r>
        <w:rPr>
          <w:rFonts w:hint="eastAsia"/>
          <w:lang w:val="en-US" w:eastAsia="zh-CN"/>
        </w:rPr>
        <w:t xml:space="preserve">    </w:t>
      </w:r>
      <w:r>
        <w:rPr>
          <w:rFonts w:hint="eastAsia"/>
        </w:rPr>
        <w:t>企业</w:t>
      </w:r>
      <w:r>
        <w:rPr>
          <w:rFonts w:hint="eastAsia"/>
          <w:lang w:eastAsia="zh-CN"/>
        </w:rPr>
        <w:t>将申请文件交换或送至我部</w:t>
      </w:r>
      <w:r>
        <w:rPr>
          <w:rFonts w:hint="eastAsia"/>
        </w:rPr>
        <w:t>。</w:t>
      </w:r>
      <w:r>
        <w:rPr>
          <w:rFonts w:hint="eastAsia"/>
          <w:lang w:eastAsia="zh-CN"/>
        </w:rPr>
        <w:t>接收材料联系电话：</w:t>
      </w:r>
      <w:r>
        <w:rPr>
          <w:rFonts w:hint="eastAsia"/>
          <w:lang w:val="en-US" w:eastAsia="zh-CN"/>
        </w:rPr>
        <w:t>010-68205119。</w:t>
      </w:r>
    </w:p>
    <w:p>
      <w:pPr>
        <w:pStyle w:val="3"/>
        <w:numPr>
          <w:ilvl w:val="0"/>
          <w:numId w:val="4"/>
        </w:numPr>
        <w:spacing w:before="156"/>
        <w:ind w:firstLine="562"/>
      </w:pPr>
      <w:bookmarkStart w:id="26" w:name="_Toc17810"/>
      <w:r>
        <w:rPr>
          <w:rFonts w:hint="eastAsia"/>
        </w:rPr>
        <w:t>办理基本流程</w:t>
      </w:r>
      <w:bookmarkEnd w:id="26"/>
    </w:p>
    <w:p>
      <w:pPr>
        <w:rPr>
          <w:rFonts w:hint="eastAsia"/>
          <w:color w:val="000000"/>
        </w:rPr>
      </w:pPr>
      <w:r>
        <w:rPr>
          <w:rFonts w:hint="eastAsia"/>
          <w:color w:val="000000"/>
        </w:rPr>
        <w:t>（一）申请程序</w:t>
      </w:r>
    </w:p>
    <w:p>
      <w:pPr>
        <w:rPr>
          <w:rFonts w:hint="default"/>
          <w:color w:val="000000"/>
        </w:rPr>
      </w:pPr>
      <w:r>
        <w:rPr>
          <w:rFonts w:hint="eastAsia"/>
          <w:color w:val="000000"/>
        </w:rPr>
        <w:t>申请人向工业和信息化部（规划司）报送项目申请报告。</w:t>
      </w:r>
      <w:r>
        <w:rPr>
          <w:rFonts w:hint="default"/>
          <w:color w:val="000000"/>
        </w:rPr>
        <w:t>省内干线传输网项目由各省（自治区、直辖市）通信管理局负责核准。</w:t>
      </w:r>
      <w:r>
        <w:rPr>
          <w:rFonts w:hint="eastAsia"/>
          <w:color w:val="000000"/>
        </w:rPr>
        <w:t>地方企业投资建设的项目，应当由项目所在地省级通信管理局（限于涉及信息安全的电信基础设施项目）</w:t>
      </w:r>
      <w:r>
        <w:rPr>
          <w:rFonts w:hint="default"/>
          <w:color w:val="000000"/>
          <w:lang w:eastAsia="zh-CN"/>
        </w:rPr>
        <w:t>审查通过后报工业和信息化部核准</w:t>
      </w:r>
      <w:r>
        <w:rPr>
          <w:rFonts w:hint="eastAsia"/>
          <w:color w:val="000000"/>
        </w:rPr>
        <w:t>。</w:t>
      </w:r>
      <w:r>
        <w:rPr>
          <w:rFonts w:hint="default"/>
          <w:color w:val="000000"/>
        </w:rPr>
        <w:t>申请人按上述审查审批权限报送项目申请报告。</w:t>
      </w:r>
    </w:p>
    <w:p>
      <w:pPr>
        <w:rPr>
          <w:rFonts w:hint="eastAsia"/>
          <w:color w:val="000000"/>
        </w:rPr>
      </w:pPr>
      <w:r>
        <w:rPr>
          <w:rFonts w:hint="default"/>
          <w:color w:val="000000"/>
        </w:rPr>
        <w:t>申请核准的非涉密项目需同步在“全国投资项目在线审批监管平台”中申报。</w:t>
      </w:r>
    </w:p>
    <w:p>
      <w:pPr>
        <w:rPr>
          <w:rFonts w:hint="eastAsia"/>
          <w:color w:val="000000"/>
        </w:rPr>
      </w:pPr>
      <w:r>
        <w:rPr>
          <w:rFonts w:hint="eastAsia"/>
          <w:color w:val="000000"/>
          <w:lang w:eastAsia="zh-CN"/>
        </w:rPr>
        <w:t>（二）</w:t>
      </w:r>
      <w:r>
        <w:rPr>
          <w:rFonts w:hint="eastAsia"/>
          <w:color w:val="000000"/>
        </w:rPr>
        <w:t>受理、审查、决定程序</w:t>
      </w:r>
    </w:p>
    <w:p>
      <w:pPr>
        <w:rPr>
          <w:rFonts w:hint="eastAsia"/>
          <w:color w:val="000000"/>
          <w:lang w:eastAsia="zh-CN"/>
        </w:rPr>
      </w:pPr>
      <w:r>
        <w:rPr>
          <w:rFonts w:hint="eastAsia"/>
          <w:color w:val="000000"/>
        </w:rPr>
        <w:t>国务院有关部门所属单位、中央管理企业投资建设的项目，由国务院有关部门、中央管理企业向工业和信息化部提交项目申请报告，工业和信息化部</w:t>
      </w:r>
      <w:r>
        <w:rPr>
          <w:rFonts w:hint="eastAsia"/>
          <w:color w:val="000000"/>
          <w:lang w:eastAsia="zh-CN"/>
        </w:rPr>
        <w:t>规划司</w:t>
      </w:r>
      <w:r>
        <w:rPr>
          <w:rFonts w:hint="eastAsia"/>
          <w:color w:val="000000"/>
        </w:rPr>
        <w:t>对企业的申请材料进行初步审查，对于申请材料不齐备的，应于收到材料之日起5个工作日内向企业提出审核意见，并一次性告知企业需补正的全部内容</w:t>
      </w:r>
      <w:r>
        <w:rPr>
          <w:rFonts w:hint="eastAsia"/>
          <w:color w:val="000000"/>
          <w:lang w:eastAsia="zh-CN"/>
        </w:rPr>
        <w:t>。</w:t>
      </w:r>
    </w:p>
    <w:p>
      <w:pPr>
        <w:rPr>
          <w:rFonts w:hint="eastAsia"/>
          <w:color w:val="000000"/>
        </w:rPr>
      </w:pPr>
      <w:r>
        <w:rPr>
          <w:rFonts w:hint="eastAsia"/>
          <w:color w:val="000000"/>
        </w:rPr>
        <w:t>企业提交的申请材料齐备的，且符合受理条件的，工业和信息化部</w:t>
      </w:r>
      <w:r>
        <w:rPr>
          <w:rFonts w:hint="eastAsia"/>
          <w:color w:val="000000"/>
          <w:lang w:eastAsia="zh-CN"/>
        </w:rPr>
        <w:t>规划司</w:t>
      </w:r>
      <w:r>
        <w:rPr>
          <w:rFonts w:hint="eastAsia"/>
          <w:color w:val="000000"/>
        </w:rPr>
        <w:t>对其工业和信息化部</w:t>
      </w:r>
      <w:r>
        <w:rPr>
          <w:rFonts w:hint="eastAsia"/>
          <w:color w:val="000000"/>
          <w:lang w:eastAsia="zh-CN"/>
        </w:rPr>
        <w:t>规划</w:t>
      </w:r>
      <w:r>
        <w:rPr>
          <w:rFonts w:hint="eastAsia"/>
          <w:color w:val="000000"/>
        </w:rPr>
        <w:t>司签批的《受理通知书》；不符合受理条件的，将接收到《不予受理通知书》</w:t>
      </w:r>
      <w:r>
        <w:rPr>
          <w:rFonts w:hint="eastAsia"/>
          <w:color w:val="000000"/>
          <w:lang w:eastAsia="zh-CN"/>
        </w:rPr>
        <w:t>。</w:t>
      </w:r>
    </w:p>
    <w:p>
      <w:pPr>
        <w:rPr>
          <w:rFonts w:hint="eastAsia"/>
          <w:color w:val="000000"/>
        </w:rPr>
      </w:pPr>
      <w:r>
        <w:rPr>
          <w:rFonts w:hint="eastAsia"/>
          <w:color w:val="000000"/>
        </w:rPr>
        <w:t>工业和信息化部在正式受理申报材料后，需要评估意见的，应当在4个工作日内按照有关规定委托有相应资格的工程咨询机构进行评估。编制项目申请报告的工程咨询机构不得承担同一项目的评估工作。工程咨询机构与项目单位存在控股、管理关系或者负责人为同一人的，不得承担该项目单位的项目评估工作。接受委托的工程咨询机构应当在工业和信息化部规定的时间内提出评估报告，并对评估结论承担责任。</w:t>
      </w:r>
    </w:p>
    <w:p>
      <w:pPr>
        <w:rPr>
          <w:rFonts w:hint="eastAsia"/>
          <w:color w:val="000000"/>
        </w:rPr>
      </w:pPr>
      <w:r>
        <w:rPr>
          <w:rFonts w:hint="eastAsia"/>
          <w:color w:val="000000"/>
        </w:rPr>
        <w:t>评估费用由工业和信息化部承担，评估机构及其工作人员不得收取项目单位的任何费用。</w:t>
      </w:r>
    </w:p>
    <w:p>
      <w:pPr>
        <w:rPr>
          <w:rFonts w:hint="eastAsia"/>
          <w:color w:val="000000"/>
        </w:rPr>
      </w:pPr>
      <w:r>
        <w:rPr>
          <w:rFonts w:hint="eastAsia"/>
          <w:color w:val="000000"/>
        </w:rPr>
        <w:t>对于涉及其它部门职能的项目，工业和信息化部应当在正式受理项目核准申请3个工作日内，商请相关部门出具书面审查意见。相关部门应当在7个工作日内出具书面审查意见，逾期没有反馈意见的，视为同意。</w:t>
      </w:r>
    </w:p>
    <w:p>
      <w:pPr>
        <w:rPr>
          <w:rFonts w:hint="eastAsia"/>
          <w:color w:val="000000"/>
        </w:rPr>
      </w:pPr>
      <w:r>
        <w:rPr>
          <w:rFonts w:hint="eastAsia"/>
          <w:color w:val="000000"/>
        </w:rPr>
        <w:t>对于可能会对公众利益造成重大影响的项目，工业和信息化部应当采取适当方式征求公众意见。对于特别重大的项目，可以实行专家评议制度。</w:t>
      </w:r>
    </w:p>
    <w:p>
      <w:pPr>
        <w:rPr>
          <w:rFonts w:hint="eastAsia"/>
          <w:color w:val="000000"/>
        </w:rPr>
      </w:pPr>
      <w:r>
        <w:rPr>
          <w:rFonts w:hint="eastAsia"/>
          <w:color w:val="000000"/>
        </w:rPr>
        <w:t>工业和信息化部应当在正式受理项目申报材料后20个工作日内做出是否予以核准的决定。由于特殊原因确实难以在20个工作日内做出核准决定的，经负责人批准，可以延长10个工作日，并将延长期限的理由及时告知项目申报单位。</w:t>
      </w:r>
    </w:p>
    <w:p>
      <w:pPr>
        <w:rPr>
          <w:rFonts w:hint="eastAsia"/>
          <w:color w:val="000000"/>
        </w:rPr>
      </w:pPr>
      <w:r>
        <w:rPr>
          <w:rFonts w:hint="eastAsia"/>
          <w:color w:val="000000"/>
        </w:rPr>
        <w:t>需要委托咨询评估和进行专家评议的，所需时间不计算在前款规定的期限内，但应当将所需时间书面告知项目单位。</w:t>
      </w:r>
    </w:p>
    <w:p>
      <w:pPr>
        <w:rPr>
          <w:rFonts w:hint="eastAsia"/>
          <w:color w:val="000000"/>
        </w:rPr>
      </w:pPr>
      <w:r>
        <w:rPr>
          <w:rFonts w:hint="eastAsia"/>
          <w:color w:val="000000"/>
        </w:rPr>
        <w:t>对于核准同意的项目，工业和信息化部应当向项目单位出具项目核准文件并依法将核准决定向社会公开；对于不同意核准的项目，工业和信息化部应当出具不予核准决定书，说明不予核准的理由。</w:t>
      </w:r>
    </w:p>
    <w:p>
      <w:pPr>
        <w:rPr>
          <w:rFonts w:hint="eastAsia"/>
          <w:color w:val="000000"/>
        </w:rPr>
      </w:pPr>
      <w:r>
        <w:rPr>
          <w:rFonts w:hint="eastAsia"/>
          <w:color w:val="000000"/>
        </w:rPr>
        <w:t>（三）延续、变更程序：</w:t>
      </w:r>
    </w:p>
    <w:p>
      <w:pPr>
        <w:rPr>
          <w:rFonts w:hint="eastAsia"/>
          <w:color w:val="000000"/>
        </w:rPr>
      </w:pPr>
      <w:r>
        <w:rPr>
          <w:rFonts w:hint="eastAsia"/>
          <w:color w:val="000000"/>
        </w:rPr>
        <w:t>1、延期。项目核准文件自印发之日起有效期2年。项目在有效期内未开工建设的，项目单位应当在有效期届满前的30个工作日之前向工业和信息化部申请延期，工业和信息化部应当在有效期届满前作出是否准予延期的决定。在有效期内未开工建设也未按规定向工业和信息化部申请延期的，原项目核准文件自动失效。</w:t>
      </w:r>
    </w:p>
    <w:p>
      <w:pPr>
        <w:rPr>
          <w:rFonts w:hint="eastAsia"/>
          <w:color w:val="000000"/>
        </w:rPr>
      </w:pPr>
      <w:r>
        <w:rPr>
          <w:rFonts w:hint="eastAsia"/>
          <w:color w:val="000000"/>
        </w:rPr>
        <w:t>2、变更。取得项目核准文件的项目，需要对项目核准文件所规定的建设地点、建设规模、建设内容等重要内容进行调整，或者项目变更可能对经济、社会、环境等产生重大不利影响的，项目单位应当及时以书面形式向工业和信息化部提出调整申请。工业和信息化部应当根据项目具体情况，出具书面确认意见或者要求项目单位重新办理核准手续。</w:t>
      </w:r>
    </w:p>
    <w:p>
      <w:pPr>
        <w:pStyle w:val="3"/>
        <w:numPr>
          <w:ilvl w:val="0"/>
          <w:numId w:val="4"/>
        </w:numPr>
        <w:spacing w:before="156"/>
        <w:ind w:firstLine="562"/>
      </w:pPr>
      <w:bookmarkStart w:id="27" w:name="_Toc21626"/>
      <w:r>
        <w:rPr>
          <w:rFonts w:hint="eastAsia"/>
        </w:rPr>
        <w:t>办理</w:t>
      </w:r>
      <w:r>
        <w:rPr>
          <w:rFonts w:hint="eastAsia"/>
          <w:lang w:eastAsia="zh-CN"/>
        </w:rPr>
        <w:t>方式</w:t>
      </w:r>
      <w:bookmarkEnd w:id="27"/>
    </w:p>
    <w:p>
      <w:pPr>
        <w:rPr>
          <w:rFonts w:hint="eastAsia"/>
          <w:color w:val="000000"/>
          <w:lang w:eastAsia="zh-CN"/>
        </w:rPr>
      </w:pPr>
      <w:r>
        <w:rPr>
          <w:rFonts w:hint="eastAsia"/>
          <w:color w:val="000000"/>
          <w:lang w:eastAsia="zh-CN"/>
        </w:rPr>
        <w:t>通过审查书面材料办理。</w:t>
      </w:r>
    </w:p>
    <w:p>
      <w:pPr>
        <w:pStyle w:val="3"/>
        <w:numPr>
          <w:ilvl w:val="0"/>
          <w:numId w:val="4"/>
        </w:numPr>
        <w:spacing w:before="156"/>
        <w:ind w:firstLine="562"/>
      </w:pPr>
      <w:bookmarkStart w:id="28" w:name="_Toc19723"/>
      <w:r>
        <w:rPr>
          <w:rFonts w:hint="eastAsia"/>
        </w:rPr>
        <w:t>办理</w:t>
      </w:r>
      <w:r>
        <w:rPr>
          <w:rFonts w:hint="eastAsia"/>
          <w:lang w:eastAsia="zh-CN"/>
        </w:rPr>
        <w:t>时限</w:t>
      </w:r>
      <w:bookmarkEnd w:id="28"/>
    </w:p>
    <w:p>
      <w:pPr>
        <w:rPr>
          <w:rFonts w:hint="eastAsia"/>
          <w:color w:val="000000"/>
          <w:lang w:eastAsia="zh-CN"/>
        </w:rPr>
      </w:pPr>
      <w:r>
        <w:rPr>
          <w:rFonts w:hint="eastAsia"/>
          <w:color w:val="000000"/>
        </w:rPr>
        <w:t>工业和信息化部应当在正式受理项目申报材料后20个工作日内做出是否予以核准的决定。由于特殊原因确实难以在20个工作日内做出核准决定的，经负责人批准，可以延长10个工作日，并将延长期限的理由及时告知项目申报单位。</w:t>
      </w:r>
    </w:p>
    <w:p>
      <w:pPr>
        <w:pStyle w:val="3"/>
        <w:numPr>
          <w:ilvl w:val="0"/>
          <w:numId w:val="4"/>
        </w:numPr>
        <w:spacing w:before="156"/>
        <w:ind w:firstLine="562"/>
      </w:pPr>
      <w:bookmarkStart w:id="29" w:name="_Toc29099"/>
      <w:r>
        <w:rPr>
          <w:rFonts w:hint="eastAsia"/>
        </w:rPr>
        <w:t>收费标准</w:t>
      </w:r>
      <w:bookmarkEnd w:id="29"/>
    </w:p>
    <w:p>
      <w:r>
        <w:rPr>
          <w:rFonts w:hint="eastAsia"/>
        </w:rPr>
        <w:t>本审批事项不收费。</w:t>
      </w:r>
    </w:p>
    <w:p>
      <w:pPr>
        <w:pStyle w:val="3"/>
        <w:numPr>
          <w:ilvl w:val="0"/>
          <w:numId w:val="4"/>
        </w:numPr>
        <w:spacing w:before="156"/>
        <w:ind w:firstLine="562"/>
      </w:pPr>
      <w:bookmarkStart w:id="30" w:name="_Toc7747"/>
      <w:r>
        <w:rPr>
          <w:rFonts w:hint="eastAsia"/>
        </w:rPr>
        <w:t>审批结果</w:t>
      </w:r>
      <w:bookmarkEnd w:id="30"/>
    </w:p>
    <w:p>
      <w:pPr>
        <w:ind w:left="0" w:leftChars="0" w:firstLine="560" w:firstLineChars="200"/>
        <w:rPr>
          <w:rFonts w:hint="eastAsia" w:ascii="Times New Roman" w:hAnsi="Times New Roman" w:eastAsia="华文仿宋" w:cs="Times New Roman"/>
          <w:b w:val="0"/>
          <w:kern w:val="2"/>
          <w:sz w:val="28"/>
          <w:szCs w:val="22"/>
          <w:lang w:val="en-US" w:eastAsia="zh-CN" w:bidi="ar-SA"/>
        </w:rPr>
      </w:pPr>
      <w:r>
        <w:rPr>
          <w:rFonts w:hint="default" w:cs="Times New Roman"/>
          <w:b w:val="0"/>
          <w:kern w:val="2"/>
          <w:sz w:val="28"/>
          <w:szCs w:val="22"/>
          <w:lang w:eastAsia="zh-CN" w:bidi="ar-SA"/>
        </w:rPr>
        <w:t>工业和信息化部</w:t>
      </w:r>
      <w:r>
        <w:rPr>
          <w:rFonts w:hint="eastAsia" w:ascii="Times New Roman" w:hAnsi="Times New Roman" w:eastAsia="华文仿宋" w:cs="Times New Roman"/>
          <w:b w:val="0"/>
          <w:kern w:val="2"/>
          <w:sz w:val="28"/>
          <w:szCs w:val="22"/>
          <w:lang w:val="en-US" w:eastAsia="zh-CN" w:bidi="ar-SA"/>
        </w:rPr>
        <w:t>在办结后10日内将批复文件或不予许可告知书答复告知项目单位。</w:t>
      </w:r>
    </w:p>
    <w:p>
      <w:pPr>
        <w:pStyle w:val="3"/>
        <w:numPr>
          <w:ilvl w:val="0"/>
          <w:numId w:val="4"/>
        </w:numPr>
        <w:spacing w:before="156"/>
        <w:ind w:firstLine="562"/>
      </w:pPr>
      <w:bookmarkStart w:id="31" w:name="_Toc14530"/>
      <w:r>
        <w:rPr>
          <w:rFonts w:hint="eastAsia"/>
        </w:rPr>
        <w:t>结果</w:t>
      </w:r>
      <w:r>
        <w:rPr>
          <w:rFonts w:hint="eastAsia"/>
          <w:lang w:eastAsia="zh-CN"/>
        </w:rPr>
        <w:t>送达</w:t>
      </w:r>
      <w:bookmarkEnd w:id="31"/>
    </w:p>
    <w:p>
      <w:pPr>
        <w:ind w:left="0" w:leftChars="0" w:firstLine="560" w:firstLineChars="200"/>
        <w:rPr>
          <w:rFonts w:hint="eastAsia" w:ascii="Times New Roman" w:hAnsi="Times New Roman" w:eastAsia="华文仿宋" w:cs="Times New Roman"/>
          <w:b w:val="0"/>
          <w:kern w:val="2"/>
          <w:sz w:val="28"/>
          <w:szCs w:val="22"/>
          <w:lang w:val="en-US" w:eastAsia="zh-CN" w:bidi="ar-SA"/>
        </w:rPr>
      </w:pPr>
      <w:r>
        <w:rPr>
          <w:rFonts w:hint="default" w:cs="Times New Roman"/>
          <w:b w:val="0"/>
          <w:kern w:val="2"/>
          <w:sz w:val="28"/>
          <w:szCs w:val="22"/>
          <w:lang w:eastAsia="zh-CN" w:bidi="ar-SA"/>
        </w:rPr>
        <w:t>工业和信息化部</w:t>
      </w:r>
      <w:r>
        <w:rPr>
          <w:rFonts w:hint="eastAsia" w:ascii="Times New Roman" w:hAnsi="Times New Roman" w:eastAsia="华文仿宋" w:cs="Times New Roman"/>
          <w:b w:val="0"/>
          <w:kern w:val="2"/>
          <w:sz w:val="28"/>
          <w:szCs w:val="22"/>
          <w:lang w:val="en-US" w:eastAsia="zh-CN" w:bidi="ar-SA"/>
        </w:rPr>
        <w:t>在办结后10日内将批复文件或不予许可告知书答复告知项目单位。</w:t>
      </w:r>
      <w:r>
        <w:rPr>
          <w:rFonts w:hint="eastAsia" w:cs="Times New Roman"/>
          <w:b w:val="0"/>
          <w:kern w:val="2"/>
          <w:sz w:val="28"/>
          <w:szCs w:val="22"/>
          <w:lang w:val="en-US" w:eastAsia="zh-CN" w:bidi="ar-SA"/>
        </w:rPr>
        <w:t>非涉密结果同时在网上公布。</w:t>
      </w:r>
    </w:p>
    <w:p>
      <w:pPr>
        <w:pStyle w:val="3"/>
        <w:numPr>
          <w:ilvl w:val="0"/>
          <w:numId w:val="4"/>
        </w:numPr>
        <w:spacing w:before="156"/>
        <w:ind w:firstLine="562"/>
      </w:pPr>
      <w:bookmarkStart w:id="32" w:name="_Toc31070"/>
      <w:r>
        <w:rPr>
          <w:rFonts w:hint="eastAsia"/>
        </w:rPr>
        <w:t>行政相对人权利和义务</w:t>
      </w:r>
      <w:bookmarkEnd w:id="32"/>
    </w:p>
    <w:p>
      <w:pPr>
        <w:numPr>
          <w:numId w:val="0"/>
        </w:numPr>
        <w:ind w:leftChars="200"/>
        <w:rPr>
          <w:color w:val="000000"/>
        </w:rPr>
      </w:pPr>
      <w:r>
        <w:rPr>
          <w:rFonts w:hint="eastAsia"/>
          <w:color w:val="000000"/>
          <w:lang w:eastAsia="zh-CN"/>
        </w:rPr>
        <w:t>（一）</w:t>
      </w:r>
      <w:r>
        <w:rPr>
          <w:rFonts w:hint="eastAsia"/>
          <w:color w:val="000000"/>
        </w:rPr>
        <w:t>行政相对人的权利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1、</w:t>
      </w:r>
      <w:r>
        <w:rPr>
          <w:rFonts w:hint="eastAsia"/>
        </w:rPr>
        <w:t>当事人提出行政许可申请，符合法定条件、标准的，有获得准予许可的权利。</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rPr>
      </w:pPr>
      <w:r>
        <w:rPr>
          <w:rFonts w:hint="eastAsia"/>
          <w:lang w:val="en-US" w:eastAsia="zh-CN"/>
        </w:rPr>
        <w:t>2、</w:t>
      </w:r>
      <w:r>
        <w:rPr>
          <w:rFonts w:hint="eastAsia"/>
        </w:rPr>
        <w:t>当事人对工业和信息化部门做出的行政决定或其认定的违法事实及拟给予的行政处罚，或者不同意当事人的申请的事实与理由，有陈述与申辩的权利。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3、</w:t>
      </w:r>
      <w:r>
        <w:rPr>
          <w:rFonts w:hint="eastAsia"/>
        </w:rPr>
        <w:t>当事人对工业和信息化部门拟作出的具体行政行为决定的事实、理由及依据，有了解、知情的权利。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4、</w:t>
      </w:r>
      <w:r>
        <w:rPr>
          <w:rFonts w:hint="eastAsia"/>
        </w:rPr>
        <w:t>当事人对工业和信息化部门做出的不予行政许可的决定或认为其具体行政行为侵犯其合法权益，有依法申请行政复议或向人民法院提起行政诉讼的权利；当事人对行政复议决定不服的，有权向人民法院提起行政诉讼。</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5、</w:t>
      </w:r>
      <w:r>
        <w:rPr>
          <w:rFonts w:hint="eastAsia"/>
        </w:rPr>
        <w:t>当事人对于工业和信息化部门和其行政执法人员的违法失职行为，有权申诉、控告；对于工业和信息化部门和其行政执法人员违反党纪、政纪的行为，有向纪检监察部门检举的权利，有权向工业和信息化部门举报违法从事行政许可事项的活动。</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6、</w:t>
      </w:r>
      <w:r>
        <w:rPr>
          <w:rFonts w:hint="eastAsia"/>
        </w:rPr>
        <w:t>法律、法规规定的其它权利。</w:t>
      </w:r>
    </w:p>
    <w:p>
      <w:pPr>
        <w:numPr>
          <w:numId w:val="0"/>
        </w:numPr>
        <w:ind w:leftChars="200"/>
        <w:rPr>
          <w:color w:val="000000"/>
        </w:rPr>
      </w:pPr>
      <w:r>
        <w:rPr>
          <w:rFonts w:hint="eastAsia"/>
          <w:color w:val="000000"/>
          <w:lang w:eastAsia="zh-CN"/>
        </w:rPr>
        <w:t>（二）</w:t>
      </w:r>
      <w:r>
        <w:rPr>
          <w:rFonts w:hint="eastAsia"/>
          <w:color w:val="000000"/>
        </w:rPr>
        <w:t>行政相对人的义务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1、</w:t>
      </w:r>
      <w:r>
        <w:rPr>
          <w:rFonts w:hint="eastAsia"/>
        </w:rPr>
        <w:t>当事人有自觉遵守《</w:t>
      </w:r>
      <w:r>
        <w:rPr>
          <w:rFonts w:hint="eastAsia"/>
          <w:lang w:eastAsia="zh-CN"/>
        </w:rPr>
        <w:t>中华人民共和国</w:t>
      </w:r>
      <w:r>
        <w:rPr>
          <w:rFonts w:hint="eastAsia"/>
        </w:rPr>
        <w:t>电信条例》</w:t>
      </w:r>
      <w:r>
        <w:rPr>
          <w:rFonts w:hint="eastAsia"/>
          <w:lang w:eastAsia="zh-CN"/>
        </w:rPr>
        <w:t>、《政府核准的投资项目目录》</w:t>
      </w:r>
      <w:r>
        <w:rPr>
          <w:rFonts w:hint="eastAsia"/>
        </w:rPr>
        <w:t>和其他有关法律、行政法规规定的义务。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2、</w:t>
      </w:r>
      <w:r>
        <w:rPr>
          <w:rFonts w:hint="eastAsia"/>
        </w:rPr>
        <w:t>当事人在向工业和信息化部门提出行政许可等申请时，应当向工业和信息化部门如实提交有关材料和反映真实情况，并对其提交材料实质内容的真实性负责。</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3、</w:t>
      </w:r>
      <w:r>
        <w:rPr>
          <w:rFonts w:hint="eastAsia"/>
        </w:rPr>
        <w:t>对工业和信息化部门依法做出的决定，当事人有在决定规定的期限内自觉履行和主动、及时纠正其违法行为的义务。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4、</w:t>
      </w:r>
      <w:r>
        <w:rPr>
          <w:rFonts w:hint="eastAsia"/>
        </w:rPr>
        <w:t>法律、法规规定的其他义务。</w:t>
      </w:r>
    </w:p>
    <w:p>
      <w:pPr>
        <w:pStyle w:val="3"/>
        <w:numPr>
          <w:ilvl w:val="0"/>
          <w:numId w:val="4"/>
        </w:numPr>
        <w:spacing w:before="156"/>
        <w:ind w:firstLine="562"/>
      </w:pPr>
      <w:bookmarkStart w:id="33" w:name="_Toc29806"/>
      <w:r>
        <w:rPr>
          <w:rFonts w:hint="eastAsia"/>
        </w:rPr>
        <w:t>咨询途径</w:t>
      </w:r>
      <w:bookmarkEnd w:id="33"/>
    </w:p>
    <w:p>
      <w:pPr>
        <w:numPr>
          <w:numId w:val="0"/>
        </w:numPr>
        <w:ind w:leftChars="200"/>
        <w:rPr>
          <w:color w:val="000000"/>
        </w:rPr>
      </w:pPr>
      <w:r>
        <w:rPr>
          <w:rFonts w:hint="eastAsia"/>
          <w:color w:val="000000"/>
        </w:rPr>
        <w:t>电话咨询：010-6280</w:t>
      </w:r>
      <w:r>
        <w:rPr>
          <w:rFonts w:hint="eastAsia"/>
          <w:color w:val="000000"/>
          <w:lang w:val="en-US" w:eastAsia="zh-CN"/>
        </w:rPr>
        <w:t>5119</w:t>
      </w:r>
      <w:r>
        <w:rPr>
          <w:rFonts w:hint="eastAsia"/>
          <w:color w:val="000000"/>
        </w:rPr>
        <w:t xml:space="preserve">  </w:t>
      </w:r>
    </w:p>
    <w:p>
      <w:pPr>
        <w:pStyle w:val="3"/>
        <w:numPr>
          <w:ilvl w:val="0"/>
          <w:numId w:val="4"/>
        </w:numPr>
        <w:spacing w:before="156"/>
        <w:ind w:firstLine="562"/>
      </w:pPr>
      <w:bookmarkStart w:id="34" w:name="_Toc17668"/>
      <w:r>
        <w:rPr>
          <w:rFonts w:hint="eastAsia"/>
        </w:rPr>
        <w:t>监督投诉渠道</w:t>
      </w:r>
      <w:bookmarkEnd w:id="34"/>
    </w:p>
    <w:p>
      <w:r>
        <w:rPr>
          <w:rFonts w:hint="eastAsia"/>
        </w:rPr>
        <w:t>对于负责该审批事项的工作人员的服务质量、服务态度或违法违纪问题，申请人可以通过以下形式投诉或举报：</w:t>
      </w:r>
    </w:p>
    <w:p>
      <w:pPr>
        <w:rPr>
          <w:highlight w:val="none"/>
        </w:rPr>
      </w:pPr>
      <w:r>
        <w:rPr>
          <w:rFonts w:hint="eastAsia"/>
          <w:highlight w:val="none"/>
        </w:rPr>
        <w:t>电话：010-</w:t>
      </w:r>
      <w:r>
        <w:rPr>
          <w:rFonts w:hint="eastAsia"/>
          <w:highlight w:val="none"/>
          <w:lang w:val="en-US" w:eastAsia="zh-CN"/>
        </w:rPr>
        <w:t>68205105</w:t>
      </w:r>
    </w:p>
    <w:p>
      <w:pPr>
        <w:pStyle w:val="3"/>
        <w:numPr>
          <w:ilvl w:val="0"/>
          <w:numId w:val="4"/>
        </w:numPr>
        <w:spacing w:before="156"/>
        <w:ind w:firstLine="562"/>
      </w:pPr>
      <w:bookmarkStart w:id="35" w:name="_Toc25760"/>
      <w:r>
        <w:rPr>
          <w:rFonts w:hint="eastAsia"/>
        </w:rPr>
        <w:t>办公地址和时间</w:t>
      </w:r>
      <w:bookmarkEnd w:id="35"/>
    </w:p>
    <w:p>
      <w:r>
        <w:rPr>
          <w:rFonts w:hint="eastAsia"/>
        </w:rPr>
        <w:t>办公地址：北京市西长安街13号</w:t>
      </w:r>
    </w:p>
    <w:p>
      <w:r>
        <w:rPr>
          <w:rFonts w:hint="eastAsia"/>
        </w:rPr>
        <w:t>办公时间：每周一至周五的上午8:00-1</w:t>
      </w:r>
      <w:r>
        <w:rPr>
          <w:rFonts w:hint="eastAsia"/>
          <w:lang w:val="en-US" w:eastAsia="zh-CN"/>
        </w:rPr>
        <w:t>2</w:t>
      </w:r>
      <w:r>
        <w:rPr>
          <w:rFonts w:hint="eastAsia"/>
        </w:rPr>
        <w:t>:</w:t>
      </w:r>
      <w:r>
        <w:rPr>
          <w:rFonts w:hint="eastAsia"/>
          <w:lang w:val="en-US" w:eastAsia="zh-CN"/>
        </w:rPr>
        <w:t>0</w:t>
      </w:r>
      <w:r>
        <w:rPr>
          <w:rFonts w:hint="eastAsia"/>
        </w:rPr>
        <w:t>0；下午13:</w:t>
      </w:r>
      <w:r>
        <w:rPr>
          <w:rFonts w:hint="eastAsia"/>
          <w:lang w:val="en-US" w:eastAsia="zh-CN"/>
        </w:rPr>
        <w:t>0</w:t>
      </w:r>
      <w:r>
        <w:rPr>
          <w:rFonts w:hint="eastAsia"/>
        </w:rPr>
        <w:t>0-17:00</w:t>
      </w:r>
    </w:p>
    <w:p>
      <w:pPr>
        <w:pStyle w:val="3"/>
        <w:numPr>
          <w:ilvl w:val="0"/>
          <w:numId w:val="4"/>
        </w:numPr>
        <w:spacing w:before="156"/>
        <w:ind w:firstLine="562"/>
      </w:pPr>
      <w:bookmarkStart w:id="36" w:name="_Toc3488"/>
      <w:r>
        <w:rPr>
          <w:rFonts w:hint="eastAsia"/>
        </w:rPr>
        <w:t>办理进程和结果公开查询</w:t>
      </w:r>
      <w:bookmarkEnd w:id="36"/>
    </w:p>
    <w:p>
      <w:pPr>
        <w:numPr>
          <w:numId w:val="0"/>
        </w:numPr>
        <w:ind w:leftChars="200"/>
      </w:pPr>
      <w:r>
        <w:rPr>
          <w:rFonts w:hint="eastAsia"/>
        </w:rPr>
        <w:t>办理进程</w:t>
      </w:r>
      <w:r>
        <w:rPr>
          <w:rFonts w:hint="eastAsia"/>
          <w:lang w:eastAsia="zh-CN"/>
        </w:rPr>
        <w:t>和结果可通过电话</w:t>
      </w:r>
      <w:r>
        <w:rPr>
          <w:rFonts w:hint="eastAsia"/>
        </w:rPr>
        <w:t>查询</w:t>
      </w:r>
    </w:p>
    <w:p>
      <w:r>
        <w:rPr>
          <w:rFonts w:hint="eastAsia"/>
          <w:lang w:eastAsia="zh-CN"/>
        </w:rPr>
        <w:t>电话查询：</w:t>
      </w:r>
      <w:r>
        <w:rPr>
          <w:rFonts w:hint="eastAsia"/>
          <w:lang w:val="en-US" w:eastAsia="zh-CN"/>
        </w:rPr>
        <w:t>010-68205119</w:t>
      </w:r>
      <w:r>
        <w:rPr>
          <w:rFonts w:hint="eastAsia"/>
        </w:rPr>
        <w:t>。</w:t>
      </w:r>
    </w:p>
    <w:p>
      <w:pPr>
        <w:numPr>
          <w:numId w:val="0"/>
        </w:numPr>
        <w:ind w:leftChars="200"/>
      </w:pPr>
      <w:r>
        <w:rPr>
          <w:rFonts w:hint="eastAsia"/>
        </w:rPr>
        <w:t>结果公开查询</w:t>
      </w:r>
    </w:p>
    <w:p>
      <w:r>
        <w:rPr>
          <w:rFonts w:hint="eastAsia"/>
        </w:rPr>
        <w:t>申请企业可访问中华人民共和国工业和信息化部官网（http://www.miit.gov.cn）查询公示结果。具体访问路径如下：打开中华人民共和国工业和信息化部官网，点击“在线办事”——“</w:t>
      </w:r>
      <w:r>
        <w:rPr>
          <w:rFonts w:hint="eastAsia"/>
          <w:lang w:eastAsia="zh-CN"/>
        </w:rPr>
        <w:t>通信业和信息化固定资产</w:t>
      </w:r>
      <w:r>
        <w:rPr>
          <w:rFonts w:hint="eastAsia"/>
        </w:rPr>
        <w:t>”——</w:t>
      </w:r>
      <w:r>
        <w:rPr>
          <w:rFonts w:hint="eastAsia"/>
          <w:lang w:eastAsia="zh-CN"/>
        </w:rPr>
        <w:t>“</w:t>
      </w:r>
      <w:r>
        <w:rPr>
          <w:rFonts w:hint="eastAsia"/>
        </w:rPr>
        <w:t xml:space="preserve">国内干线传输网（含广播电视网）以及其他涉及信息安全的电信基础设施项目核准 </w:t>
      </w:r>
      <w:r>
        <w:rPr>
          <w:rFonts w:hint="eastAsia"/>
          <w:lang w:eastAsia="zh-CN"/>
        </w:rPr>
        <w:t>”</w:t>
      </w:r>
      <w:r>
        <w:rPr>
          <w:rFonts w:hint="eastAsia"/>
        </w:rPr>
        <w:t>——“结果查询”。</w:t>
      </w: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"C:\\Users\\wxr123\\AppData\\Roaming\\Tencent\\Users\\527443575\\QQ\\WinTemp\\RichOle\\ICZD55QIYBBPK5CXA~K)W8Y.png"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2" o:spid="_x0000_s1028" type="#_x0000_t75" style="height:176pt;width:379.95pt;rotation:0f;" o:ole="f" fillcolor="#FFFFFF" filled="f" o:preferrelative="t" stroked="f" coordorigin="0,0" coordsize="21600,21600">
            <v:fill on="f" color2="#FFFFFF" focus="0%"/>
            <v:imagedata gain="65536f" blacklevel="0f" gamma="0" o:title="IMG_256" r:id="rId16"/>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p>
    <w:p>
      <w:pPr>
        <w:ind w:firstLine="0" w:firstLineChars="0"/>
        <w:jc w:val="center"/>
      </w:pP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"C:\\Users\\wxr123\\AppData\\Roaming\\Tencent\\Users\\527443575\\QQ\\WinTemp\\RichOle\\74PSX~Q$5QDY6TVW{4X{U`0.png"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3" o:spid="_x0000_s1029" type="#_x0000_t75" style="height:241.05pt;width:368.7pt;rotation:0f;" o:ole="f" fillcolor="#FFFFFF" filled="f" o:preferrelative="t" stroked="f" coordorigin="0,0" coordsize="21600,21600">
            <v:fill on="f" color2="#FFFFFF" focus="0%"/>
            <v:imagedata gain="65536f" blacklevel="0f" gamma="0" o:title="IMG_256" r:id="rId17"/>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r>
        <w:rPr>
          <w:rFonts w:ascii="Times New Roman" w:hAnsi="Times New Roman" w:eastAsia="华文仿宋" w:cs="Times New Roman"/>
          <w:kern w:val="2"/>
          <w:sz w:val="28"/>
          <w:szCs w:val="22"/>
          <w:lang w:val="en-US" w:eastAsia="zh-CN" w:bidi="ar-SA"/>
        </w:rPr>
        <w:pict>
          <v:shape id="Picture 4" o:spid="_x0000_s1030" type="#_x0000_t75" style="height:205.4pt;width:370.7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"C:\\Users\\wxr123\\AppData\\Roaming\\Tencent\\Users\\527443575\\QQ\\WinTemp\\RichOle\\U(TNPL%%CEJ)OZ6HRJ4KDE7.png"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5" o:spid="_x0000_s1031" type="#_x0000_t75" style="height:243.4pt;width:368.25pt;rotation:0f;" o:ole="f" fillcolor="#FFFFFF" filled="f" o:preferrelative="t" stroked="f" coordorigin="0,0" coordsize="21600,21600">
            <v:fill on="f" color2="#FFFFFF" focus="0%"/>
            <v:imagedata gain="65536f" blacklevel="0f" gamma="0" o:title="IMG_256" r:id="rId19"/>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p>
    <w:p>
      <w:pPr>
        <w:ind w:firstLine="0" w:firstLineChars="0"/>
        <w:jc w:val="center"/>
      </w:pPr>
    </w:p>
    <w:p>
      <w:pPr>
        <w:ind w:firstLine="0" w:firstLineChars="0"/>
        <w:jc w:val="center"/>
      </w:pPr>
    </w:p>
    <w:p>
      <w:pPr>
        <w:ind w:firstLine="0" w:firstLineChars="0"/>
        <w:jc w:val="center"/>
      </w:pPr>
    </w:p>
    <w:p>
      <w:pPr>
        <w:pStyle w:val="2"/>
        <w:keepNext/>
        <w:keepLines/>
        <w:widowControl w:val="0"/>
        <w:wordWrap/>
        <w:adjustRightInd/>
        <w:snapToGrid/>
        <w:spacing w:before="340" w:after="330" w:line="40" w:lineRule="exact"/>
        <w:ind w:left="0" w:leftChars="0" w:right="0" w:firstLine="640" w:firstLineChars="200"/>
        <w:jc w:val="center"/>
        <w:textAlignment w:val="auto"/>
        <w:outlineLvl w:val="0"/>
        <w:rPr>
          <w:rFonts w:hint="eastAsia"/>
        </w:rPr>
      </w:pPr>
    </w:p>
    <w:p>
      <w:pPr>
        <w:rPr>
          <w:rFonts w:hint="eastAsia"/>
        </w:rPr>
      </w:pPr>
    </w:p>
    <w:p>
      <w:pPr>
        <w:rPr>
          <w:rFonts w:hint="eastAsia"/>
        </w:rPr>
      </w:pPr>
    </w:p>
    <w:p>
      <w:pPr>
        <w:pStyle w:val="2"/>
        <w:keepNext/>
        <w:keepLines/>
        <w:widowControl w:val="0"/>
        <w:wordWrap/>
        <w:adjustRightInd/>
        <w:snapToGrid/>
        <w:spacing w:after="0" w:line="280" w:lineRule="atLeast"/>
        <w:ind w:right="0" w:firstLine="643"/>
        <w:textAlignment w:val="auto"/>
      </w:pPr>
      <w:bookmarkStart w:id="37" w:name="_Toc1873"/>
      <w:r>
        <w:rPr>
          <w:rFonts w:hint="eastAsia"/>
        </w:rPr>
        <w:t>附录</w:t>
      </w:r>
      <w:bookmarkEnd w:id="37"/>
    </w:p>
    <w:p>
      <w:pPr>
        <w:pStyle w:val="3"/>
        <w:keepNext/>
        <w:keepLines/>
        <w:widowControl w:val="0"/>
        <w:numPr>
          <w:ilvl w:val="0"/>
          <w:numId w:val="0"/>
        </w:numPr>
        <w:wordWrap/>
        <w:adjustRightInd/>
        <w:snapToGrid/>
        <w:spacing w:before="157" w:beforeLines="50" w:line="280" w:lineRule="atLeast"/>
        <w:ind w:left="560" w:leftChars="200" w:right="1120" w:rightChars="400" w:firstLine="0" w:firstLineChars="0"/>
        <w:jc w:val="left"/>
        <w:textAlignment w:val="auto"/>
        <w:outlineLvl w:val="1"/>
      </w:pPr>
      <w:bookmarkStart w:id="38" w:name="_Toc22431"/>
      <w:r>
        <w:rPr>
          <w:rFonts w:hint="eastAsia"/>
        </w:rPr>
        <w:t>附录一：流程图</w:t>
      </w:r>
      <w:bookmarkStart w:id="39" w:name="_Toc479324245"/>
      <w:r>
        <w:rPr>
          <w:rFonts w:ascii="Arial" w:hAnsi="Arial" w:eastAsia="黑体" w:cs="Times New Roman"/>
          <w:b/>
          <w:kern w:val="2"/>
          <w:sz w:val="21"/>
          <w:szCs w:val="22"/>
          <w:lang w:val="en-US" w:eastAsia="zh-CN" w:bidi="ar-SA"/>
        </w:rPr>
        <w:pict>
          <v:shape id="Straight Connector 1026" o:spid="_x0000_s1032" type="#_x0000_t32" style="position:absolute;left:0;margin-left:209.3pt;margin-top:261.45pt;height:25.3pt;width:0.15pt;rotation:0f;z-index:25171968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27" o:spid="_x0000_s1033" type="#_x0000_t32" style="position:absolute;left:0;margin-left:-27.75pt;margin-top:361.5pt;height:16pt;width:0.05pt;rotation:0f;z-index:25166438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Quad Arrow 1028" o:spid="_x0000_s1034" type="#_x0000_t202" style="position:absolute;left:0;margin-left:307.35pt;margin-top:27pt;height:29.9pt;width:70.1pt;rotation:0f;z-index:25172889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提交补充材料</w:t>
                  </w:r>
                </w:p>
              </w:txbxContent>
            </v:textbox>
          </v:shape>
        </w:pict>
      </w:r>
      <w:r>
        <w:rPr>
          <w:rFonts w:ascii="Arial" w:hAnsi="Arial" w:eastAsia="黑体" w:cs="Times New Roman"/>
          <w:b/>
          <w:kern w:val="2"/>
          <w:sz w:val="21"/>
          <w:szCs w:val="22"/>
          <w:lang w:val="en-US" w:eastAsia="zh-CN" w:bidi="ar-SA"/>
        </w:rPr>
        <w:pict>
          <v:shape id="Elbow Connector 1029" o:spid="_x0000_s1035" type="#_x0000_t35" style="position:absolute;left:0;margin-left:-27.75pt;margin-top:288.3pt;height:30.45pt;width:39.9pt;rotation:11796480f;z-index:251665408;" o:ole="f" fillcolor="#FFFFFF" filled="t" o:preferrelative="t" stroked="t" coordorigin="0,0" coordsize="21600,21600" adj="2111,39866">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0" o:spid="_x0000_s1036" type="#_x0000_t32" style="position:absolute;left:0;flip:x;margin-left:335.2pt;margin-top:390.45pt;height:0.4pt;width:37.3pt;rotation:0f;z-index:25171456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Elbow Connector 1031" o:spid="_x0000_s1037" type="#_x0000_t35" style="position:absolute;left:0;flip:x;margin-left:224.5pt;margin-top:496.85pt;height:80pt;width:63.4pt;rotation:17694720f;z-index:251666432;" o:ole="f" fillcolor="#FFFFFF" filled="t" o:preferrelative="t" stroked="t" coordorigin="0,0" coordsize="21600,21600" adj="-6388,17348">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Elbow Connector 1032" o:spid="_x0000_s1038" type="#_x0000_t33" style="position:absolute;left:0;margin-left:224.45pt;margin-top:444.85pt;height:5.95pt;width:71.85pt;rotation:0f;z-index:251721728;"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Elbow Connector 1033" o:spid="_x0000_s1039" type="#_x0000_t33" style="position:absolute;left:0;flip:y;margin-left:306.75pt;margin-top:37.7pt;height:86.1pt;width:59.6pt;rotation:5898240f;z-index:25172787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4" o:spid="_x0000_s1040" type="#_x0000_t32" style="position:absolute;left:0;flip:x;margin-left:296.2pt;margin-top:498.65pt;height:26.35pt;width:0.1pt;rotation:0f;z-index:251711488;"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5" o:spid="_x0000_s1041" type="#_x0000_t32" style="position:absolute;left:0;flip:x;margin-left:144.55pt;margin-top:404.65pt;height:18.4pt;width:0.25pt;rotation:0f;z-index:25170944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6" o:spid="_x0000_s1042" type="#_x0000_t32" style="position:absolute;left:0;margin-left:273.6pt;margin-top:319.4pt;height:0.05pt;width:18.05pt;rotation:0f;z-index:251706368;"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7" o:spid="_x0000_s1043" type="#_x0000_t32" style="position:absolute;left:0;flip:y;margin-left:236.3pt;margin-top:178.6pt;height:0.2pt;width:37.1pt;rotation:0f;z-index:25169920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8" o:spid="_x0000_s1044" type="#_x0000_t32" style="position:absolute;left:0;margin-left:275.35pt;margin-top:133.65pt;height:0.45pt;width:48.3pt;rotation:0f;z-index:251698176;"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39" o:spid="_x0000_s1045" type="#_x0000_t32" style="position:absolute;left:0;flip:x;margin-left:88.4pt;margin-top:133.65pt;height:0.2pt;width:36.1pt;rotation:0f;z-index:25169715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40" o:spid="_x0000_s1046" type="#_x0000_t32" style="position:absolute;left:0;flip:x;margin-left:199.95pt;margin-top:99.1pt;height:16.35pt;width:0.15pt;rotation:0f;z-index:251696128;"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Arial" w:hAnsi="Arial" w:eastAsia="黑体" w:cs="Times New Roman"/>
          <w:b/>
          <w:kern w:val="2"/>
          <w:sz w:val="21"/>
          <w:szCs w:val="22"/>
          <w:lang w:val="en-US" w:eastAsia="zh-CN" w:bidi="ar-SA"/>
        </w:rPr>
        <w:pict>
          <v:shape id="Straight Connector 1041" o:spid="_x0000_s1047" type="#_x0000_t32" style="position:absolute;left:0;flip:x;margin-left:200.1pt;margin-top:61.85pt;height:11.95pt;width:0.1pt;rotation:0f;z-index:25167667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bookmarkEnd w:id="38"/>
    </w:p>
    <w:p>
      <w:pPr>
        <w:jc w:val="both"/>
        <w:sectPr>
          <w:headerReference r:id="rId12" w:type="default"/>
          <w:footerReference r:id="rId13" w:type="default"/>
          <w:pgSz w:w="11906" w:h="16838"/>
          <w:pgMar w:top="1440" w:right="1800" w:bottom="1440" w:left="1800" w:header="851" w:footer="992" w:gutter="0"/>
          <w:pgNumType w:start="1"/>
          <w:cols w:space="720" w:num="1"/>
          <w:docGrid w:type="lines" w:linePitch="312" w:charSpace="0"/>
        </w:sectPr>
      </w:pPr>
      <w:r>
        <w:rPr>
          <w:rFonts w:ascii="Times New Roman" w:hAnsi="Times New Roman" w:eastAsia="华文仿宋" w:cs="Times New Roman"/>
          <w:kern w:val="2"/>
          <w:sz w:val="21"/>
          <w:szCs w:val="22"/>
          <w:lang w:val="en-US" w:eastAsia="zh-CN" w:bidi="ar-SA"/>
        </w:rPr>
        <w:pict>
          <v:shape id="Quad Arrow 1042" o:spid="_x0000_s1048" type="#_x0000_t202" style="position:absolute;left:0;margin-left:346.8pt;margin-top:149.2pt;height:23.5pt;width:64.6pt;rotation:0f;z-index:251725824;"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分送协办司局</w:t>
                  </w:r>
                </w:p>
              </w:txbxContent>
            </v:textbox>
          </v:shape>
        </w:pict>
      </w:r>
      <w:r>
        <w:rPr>
          <w:rFonts w:ascii="Times New Roman" w:hAnsi="Times New Roman" w:eastAsia="华文仿宋" w:cs="Times New Roman"/>
          <w:kern w:val="2"/>
          <w:sz w:val="21"/>
          <w:szCs w:val="22"/>
          <w:lang w:val="en-US" w:eastAsia="zh-CN" w:bidi="ar-SA"/>
        </w:rPr>
        <w:pict>
          <v:shape id="Quad Arrow 1043" o:spid="_x0000_s1049" type="#_x0000_t202" style="position:absolute;left:0;margin-left:271.1pt;margin-top:274pt;height:23.5pt;width:29.45pt;rotation:0f;z-index:251671552;"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是</w:t>
                  </w:r>
                </w:p>
              </w:txbxContent>
            </v:textbox>
          </v:shape>
        </w:pict>
      </w:r>
      <w:r>
        <w:rPr>
          <w:rFonts w:ascii="Times New Roman" w:hAnsi="Times New Roman" w:eastAsia="华文仿宋" w:cs="Times New Roman"/>
          <w:kern w:val="2"/>
          <w:sz w:val="21"/>
          <w:szCs w:val="22"/>
          <w:lang w:val="en-US" w:eastAsia="zh-CN" w:bidi="ar-SA"/>
        </w:rPr>
        <w:pict>
          <v:shape id="Quad Arrow 1044" o:spid="_x0000_s1050" type="#_x0000_t202" style="position:absolute;left:0;margin-left:207.25pt;margin-top:306.65pt;height:23.95pt;width:29.45pt;rotation:0f;z-index:25172992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否</w:t>
                  </w:r>
                </w:p>
              </w:txbxContent>
            </v:textbox>
          </v:shape>
        </w:pict>
      </w:r>
      <w:r>
        <w:rPr>
          <w:rFonts w:ascii="Times New Roman" w:hAnsi="Times New Roman" w:eastAsia="华文仿宋" w:cs="Times New Roman"/>
          <w:kern w:val="2"/>
          <w:sz w:val="21"/>
          <w:szCs w:val="22"/>
          <w:lang w:val="en-US" w:eastAsia="zh-CN" w:bidi="ar-SA"/>
        </w:rPr>
        <w:pict>
          <v:shape id="Quad Arrow 1045" o:spid="_x0000_s1051" type="#_x0000_t202" style="position:absolute;left:0;margin-left:393.65pt;margin-top:311.5pt;height:23.5pt;width:29.45pt;rotation:0f;z-index:25167257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是</w:t>
                  </w:r>
                </w:p>
              </w:txbxContent>
            </v:textbox>
          </v:shape>
        </w:pict>
      </w:r>
      <w:r>
        <w:rPr>
          <w:rFonts w:ascii="Times New Roman" w:hAnsi="Times New Roman" w:eastAsia="华文仿宋" w:cs="Times New Roman"/>
          <w:kern w:val="2"/>
          <w:sz w:val="21"/>
          <w:szCs w:val="22"/>
          <w:lang w:val="en-US" w:eastAsia="zh-CN" w:bidi="ar-SA"/>
        </w:rPr>
        <w:pict>
          <v:roundrect id="Rounded Rectangle 1046" o:spid="_x0000_s1052" style="position:absolute;left:0;margin-left:372.55pt;margin-top:336.5pt;height:29.9pt;width:87.5pt;rotation:0f;z-index:251713536;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val="en-US" w:eastAsia="zh-CN"/>
                    </w:rPr>
                  </w:pPr>
                  <w:r>
                    <w:rPr>
                      <w:rFonts w:hint="eastAsia"/>
                      <w:b w:val="0"/>
                      <w:bCs w:val="0"/>
                      <w:color w:val="000000"/>
                      <w:sz w:val="22"/>
                      <w:szCs w:val="22"/>
                      <w:lang w:val="en-US" w:eastAsia="zh-CN"/>
                    </w:rPr>
                    <w:t>征求公众意见</w:t>
                  </w:r>
                </w:p>
              </w:txbxContent>
            </v:textbox>
          </v:roundrect>
        </w:pict>
      </w:r>
      <w:r>
        <w:rPr>
          <w:rFonts w:ascii="Times New Roman" w:hAnsi="Times New Roman" w:eastAsia="华文仿宋" w:cs="Times New Roman"/>
          <w:kern w:val="2"/>
          <w:sz w:val="21"/>
          <w:szCs w:val="22"/>
          <w:lang w:val="en-US" w:eastAsia="zh-CN" w:bidi="ar-SA"/>
        </w:rPr>
        <w:pict>
          <v:shape id="Flowchart: Terminator 1047" o:spid="_x0000_s1053" type="#_x0000_t116" style="position:absolute;left:0;margin-left:39.8pt;margin-top:549.8pt;height:56.1pt;width:209.75pt;rotation:0f;z-index:251722752;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b w:val="0"/>
                      <w:bCs w:val="0"/>
                      <w:color w:val="000000"/>
                      <w:sz w:val="22"/>
                      <w:szCs w:val="22"/>
                      <w:lang w:val="en-US" w:eastAsia="zh-CN"/>
                    </w:rPr>
                  </w:pPr>
                  <w:r>
                    <w:rPr>
                      <w:rFonts w:hint="eastAsia"/>
                      <w:b w:val="0"/>
                      <w:bCs w:val="0"/>
                      <w:color w:val="000000"/>
                      <w:sz w:val="22"/>
                      <w:szCs w:val="22"/>
                      <w:lang w:val="en-US" w:eastAsia="zh-CN"/>
                    </w:rPr>
                    <w:t>规划司将核准文件发申请单位并抄送协办司局</w:t>
                  </w:r>
                </w:p>
              </w:txbxContent>
            </v:textbox>
          </v:shape>
        </w:pict>
      </w:r>
      <w:r>
        <w:rPr>
          <w:rFonts w:ascii="Times New Roman" w:hAnsi="Times New Roman" w:eastAsia="华文仿宋" w:cs="Times New Roman"/>
          <w:kern w:val="2"/>
          <w:sz w:val="21"/>
          <w:szCs w:val="22"/>
          <w:lang w:val="en-US" w:eastAsia="zh-CN" w:bidi="ar-SA"/>
        </w:rPr>
        <w:pict>
          <v:rect id="Rectangle 1048" o:spid="_x0000_s1054" style="position:absolute;left:0;margin-left:159.65pt;margin-top:126pt;height:27.6pt;width:76.6pt;rotation:0f;z-index:251680768;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规划司</w:t>
                  </w:r>
                </w:p>
              </w:txbxContent>
            </v:textbox>
          </v:rect>
        </w:pict>
      </w:r>
      <w:r>
        <w:rPr>
          <w:rFonts w:ascii="Times New Roman" w:hAnsi="Times New Roman" w:eastAsia="华文仿宋" w:cs="Times New Roman"/>
          <w:kern w:val="2"/>
          <w:sz w:val="21"/>
          <w:szCs w:val="22"/>
          <w:lang w:val="en-US" w:eastAsia="zh-CN" w:bidi="ar-SA"/>
        </w:rPr>
        <w:pict>
          <v:shape id="Straight Connector 1049" o:spid="_x0000_s1055" type="#_x0000_t32" style="position:absolute;left:0;flip:x;margin-left:197.85pt;margin-top:153.6pt;height:66.6pt;width:0.15pt;rotation:0f;z-index:25170534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Diamond 1050" o:spid="_x0000_s1056" type="#_x0000_t4" style="position:absolute;left:0;margin-left:145.3pt;margin-top:247.75pt;height:65.25pt;width:128.3pt;rotation:0f;z-index:251688960;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需委托评估</w:t>
                  </w:r>
                </w:p>
              </w:txbxContent>
            </v:textbox>
          </v:shape>
        </w:pict>
      </w:r>
      <w:r>
        <w:rPr>
          <w:rFonts w:ascii="Times New Roman" w:hAnsi="Times New Roman" w:eastAsia="华文仿宋" w:cs="Times New Roman"/>
          <w:kern w:val="2"/>
          <w:sz w:val="21"/>
          <w:szCs w:val="22"/>
          <w:lang w:val="en-US" w:eastAsia="zh-CN" w:bidi="ar-SA"/>
        </w:rPr>
        <w:pict>
          <v:shape id="Straight Connector 1051" o:spid="_x0000_s1057" type="#_x0000_t32" style="position:absolute;left:0;flip:x;margin-left:209.25pt;margin-top:313pt;height:24.1pt;width:0.2pt;rotation:0f;z-index:251708416;"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oundrect id="Rounded Rectangle 1052" o:spid="_x0000_s1058" style="position:absolute;left:0;margin-left:291.65pt;margin-top:267pt;height:26.8pt;width:66.45pt;rotation:0f;z-index:251689984;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val="en-US" w:eastAsia="zh-CN"/>
                    </w:rPr>
                  </w:pPr>
                  <w:r>
                    <w:rPr>
                      <w:rFonts w:hint="eastAsia"/>
                      <w:color w:val="000000"/>
                      <w:sz w:val="22"/>
                      <w:szCs w:val="22"/>
                      <w:lang w:val="en-US" w:eastAsia="zh-CN"/>
                    </w:rPr>
                    <w:t>委托评估</w:t>
                  </w:r>
                </w:p>
              </w:txbxContent>
            </v:textbox>
          </v:roundrect>
        </w:pict>
      </w:r>
      <w:r>
        <w:rPr>
          <w:rFonts w:ascii="Times New Roman" w:hAnsi="Times New Roman" w:eastAsia="华文仿宋" w:cs="Times New Roman"/>
          <w:kern w:val="2"/>
          <w:sz w:val="21"/>
          <w:szCs w:val="22"/>
          <w:lang w:val="en-US" w:eastAsia="zh-CN" w:bidi="ar-SA"/>
        </w:rPr>
        <w:pict>
          <v:shape id="Straight Connector 1053" o:spid="_x0000_s1059" type="#_x0000_t32" style="position:absolute;left:0;margin-left:324.9pt;margin-top:293.8pt;height:44.15pt;width:0.05pt;rotation:0f;z-index:-25165312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Quad Arrow 1054" o:spid="_x0000_s1060" type="#_x0000_t202" style="position:absolute;left:0;margin-left:243.5pt;margin-top:383.4pt;height:23.5pt;width:29.45pt;rotation:0f;z-index:25172480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是</w:t>
                  </w:r>
                </w:p>
              </w:txbxContent>
            </v:textbox>
          </v:shape>
        </w:pict>
      </w:r>
      <w:r>
        <w:rPr>
          <w:rFonts w:ascii="Times New Roman" w:hAnsi="Times New Roman" w:eastAsia="华文仿宋" w:cs="Times New Roman"/>
          <w:kern w:val="2"/>
          <w:sz w:val="21"/>
          <w:szCs w:val="22"/>
          <w:lang w:val="en-US" w:eastAsia="zh-CN" w:bidi="ar-SA"/>
        </w:rPr>
        <w:pict>
          <v:roundrect id="Rounded Rectangle 1055" o:spid="_x0000_s1061" style="position:absolute;left:0;margin-left:323.65pt;margin-top:71.55pt;height:47.05pt;width:111.9pt;rotation:0f;z-index:251678720;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val="en-US" w:eastAsia="zh-CN"/>
                    </w:rPr>
                  </w:pPr>
                  <w:r>
                    <w:rPr>
                      <w:rFonts w:hint="eastAsia"/>
                      <w:color w:val="000000"/>
                      <w:sz w:val="22"/>
                      <w:szCs w:val="22"/>
                      <w:lang w:val="en-US" w:eastAsia="zh-CN"/>
                    </w:rPr>
                    <w:t>5个工作日内通知申请单位补正</w:t>
                  </w:r>
                </w:p>
              </w:txbxContent>
            </v:textbox>
          </v:roundrect>
        </w:pict>
      </w:r>
      <w:r>
        <w:rPr>
          <w:rFonts w:ascii="Times New Roman" w:hAnsi="Times New Roman" w:eastAsia="华文仿宋" w:cs="Times New Roman"/>
          <w:kern w:val="2"/>
          <w:sz w:val="21"/>
          <w:szCs w:val="22"/>
          <w:lang w:val="en-US" w:eastAsia="zh-CN" w:bidi="ar-SA"/>
        </w:rPr>
        <w:pict>
          <v:shape id="Quad Arrow 1056" o:spid="_x0000_s1062" type="#_x0000_t202" style="position:absolute;left:0;margin-left:290.85pt;margin-top:90.3pt;height:23.5pt;width:29.45pt;rotation:0f;z-index:251730944;"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否</w:t>
                  </w:r>
                </w:p>
              </w:txbxContent>
            </v:textbox>
          </v:shape>
        </w:pict>
      </w:r>
      <w:r>
        <w:rPr>
          <w:rFonts w:ascii="Times New Roman" w:hAnsi="Times New Roman" w:eastAsia="华文仿宋" w:cs="Times New Roman"/>
          <w:kern w:val="2"/>
          <w:sz w:val="21"/>
          <w:szCs w:val="22"/>
          <w:lang w:val="en-US" w:eastAsia="zh-CN" w:bidi="ar-SA"/>
        </w:rPr>
        <w:pict>
          <v:rect id="Rectangle 1057" o:spid="_x0000_s1063" style="position:absolute;left:0;margin-left:5.1pt;margin-top:182.6pt;height:25.35pt;width:55.2pt;rotation:0f;z-index:251683840;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color w:val="000000"/>
                      <w:sz w:val="22"/>
                      <w:szCs w:val="22"/>
                      <w:lang w:eastAsia="zh-CN"/>
                    </w:rPr>
                  </w:pPr>
                  <w:r>
                    <w:rPr>
                      <w:rFonts w:hint="eastAsia"/>
                      <w:color w:val="000000"/>
                      <w:sz w:val="22"/>
                      <w:szCs w:val="22"/>
                      <w:lang w:eastAsia="zh-CN"/>
                    </w:rPr>
                    <w:t>通信司</w:t>
                  </w:r>
                </w:p>
              </w:txbxContent>
            </v:textbox>
          </v:rect>
        </w:pict>
      </w:r>
      <w:r>
        <w:rPr>
          <w:rFonts w:ascii="Times New Roman" w:hAnsi="Times New Roman" w:eastAsia="华文仿宋" w:cs="Times New Roman"/>
          <w:kern w:val="2"/>
          <w:sz w:val="21"/>
          <w:szCs w:val="22"/>
          <w:lang w:val="en-US" w:eastAsia="zh-CN" w:bidi="ar-SA"/>
        </w:rPr>
        <w:pict>
          <v:shape id="Diamond 1058" o:spid="_x0000_s1064" type="#_x0000_t4" style="position:absolute;left:0;margin-left:-28pt;margin-top:127.95pt;height:45.15pt;width:121.6pt;rotation:0f;z-index:251681792;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color w:val="000000"/>
                      <w:sz w:val="22"/>
                      <w:szCs w:val="22"/>
                      <w:lang w:eastAsia="zh-CN"/>
                    </w:rPr>
                  </w:pPr>
                  <w:r>
                    <w:rPr>
                      <w:rFonts w:hint="eastAsia"/>
                      <w:color w:val="000000"/>
                      <w:sz w:val="22"/>
                      <w:szCs w:val="22"/>
                      <w:lang w:eastAsia="zh-CN"/>
                    </w:rPr>
                    <w:t>干线传输</w:t>
                  </w:r>
                </w:p>
              </w:txbxContent>
            </v:textbox>
          </v:shape>
        </w:pict>
      </w:r>
      <w:r>
        <w:rPr>
          <w:rFonts w:ascii="Times New Roman" w:hAnsi="Times New Roman" w:eastAsia="华文仿宋" w:cs="Times New Roman"/>
          <w:kern w:val="2"/>
          <w:sz w:val="21"/>
          <w:szCs w:val="22"/>
          <w:lang w:val="en-US" w:eastAsia="zh-CN" w:bidi="ar-SA"/>
        </w:rPr>
        <w:pict>
          <v:shape id="Straight Connector 1059" o:spid="_x0000_s1065" type="#_x0000_t32" style="position:absolute;left:0;flip:x y;margin-left:93.3pt;margin-top:150.55pt;height:0.95pt;width:65.95pt;rotation:0f;z-index:25170022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60" o:spid="_x0000_s1066" style="position:absolute;left:0;margin-left:157.2pt;margin-top:34.8pt;height:25.35pt;width:85.75pt;rotation:0f;z-index:251675648;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规划司</w:t>
                  </w:r>
                  <w:r>
                    <w:rPr>
                      <w:rFonts w:hint="eastAsia"/>
                      <w:color w:val="000000"/>
                      <w:sz w:val="22"/>
                      <w:szCs w:val="22"/>
                      <w:lang w:val="en-US" w:eastAsia="zh-CN"/>
                    </w:rPr>
                    <w:t>审查</w:t>
                  </w:r>
                </w:p>
              </w:txbxContent>
            </v:textbox>
          </v:rect>
        </w:pict>
      </w:r>
      <w:r>
        <w:rPr>
          <w:rFonts w:ascii="Times New Roman" w:hAnsi="Times New Roman" w:eastAsia="华文仿宋" w:cs="Times New Roman"/>
          <w:kern w:val="2"/>
          <w:sz w:val="21"/>
          <w:szCs w:val="22"/>
          <w:lang w:val="en-US" w:eastAsia="zh-CN" w:bidi="ar-SA"/>
        </w:rPr>
        <w:pict>
          <v:shape id="Diamond 1061" o:spid="_x0000_s1067" type="#_x0000_t4" style="position:absolute;left:0;margin-left:362.15pt;margin-top:242.4pt;height:72.85pt;width:107.85pt;rotation:0f;z-index:-251655168;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eastAsia="zh-CN"/>
                    </w:rPr>
                  </w:pPr>
                  <w:r>
                    <w:rPr>
                      <w:rFonts w:hint="eastAsia"/>
                      <w:b w:val="0"/>
                      <w:bCs w:val="0"/>
                      <w:color w:val="000000"/>
                      <w:sz w:val="22"/>
                      <w:szCs w:val="22"/>
                      <w:lang w:eastAsia="zh-CN"/>
                    </w:rPr>
                    <w:t>需征求公众意见</w:t>
                  </w:r>
                </w:p>
              </w:txbxContent>
            </v:textbox>
          </v:shape>
        </w:pict>
      </w:r>
      <w:r>
        <w:rPr>
          <w:rFonts w:ascii="Times New Roman" w:hAnsi="Times New Roman" w:eastAsia="华文仿宋" w:cs="Times New Roman"/>
          <w:kern w:val="2"/>
          <w:sz w:val="21"/>
          <w:szCs w:val="22"/>
          <w:lang w:val="en-US" w:eastAsia="zh-CN" w:bidi="ar-SA"/>
        </w:rPr>
        <w:pict>
          <v:shape id="Quad Arrow 1062" o:spid="_x0000_s1068" type="#_x0000_t202" style="position:absolute;left:0;margin-left:245.9pt;margin-top:546.3pt;height:29.9pt;width:110.7pt;rotation:0f;z-index:25166848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最长增加</w:t>
                  </w:r>
                  <w:r>
                    <w:rPr>
                      <w:rFonts w:hint="eastAsia"/>
                      <w:sz w:val="18"/>
                      <w:szCs w:val="18"/>
                      <w:lang w:val="en-US" w:eastAsia="zh-CN"/>
                    </w:rPr>
                    <w:t>10个工作日</w:t>
                  </w:r>
                </w:p>
              </w:txbxContent>
            </v:textbox>
          </v:shape>
        </w:pict>
      </w:r>
      <w:r>
        <w:rPr>
          <w:rFonts w:ascii="Times New Roman" w:hAnsi="Times New Roman" w:eastAsia="华文仿宋" w:cs="Times New Roman"/>
          <w:kern w:val="2"/>
          <w:sz w:val="21"/>
          <w:szCs w:val="22"/>
          <w:lang w:val="en-US" w:eastAsia="zh-CN" w:bidi="ar-SA"/>
        </w:rPr>
        <w:pict>
          <v:shape id="Quad Arrow 1063" o:spid="_x0000_s1069" type="#_x0000_t202" style="position:absolute;left:0;margin-left:147.05pt;margin-top:426.65pt;height:23.5pt;width:29.45pt;rotation:0f;z-index:251669504;"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否</w:t>
                  </w:r>
                </w:p>
              </w:txbxContent>
            </v:textbox>
          </v:shape>
        </w:pict>
      </w:r>
      <w:r>
        <w:rPr>
          <w:rFonts w:ascii="Times New Roman" w:hAnsi="Times New Roman" w:eastAsia="华文仿宋" w:cs="Times New Roman"/>
          <w:kern w:val="2"/>
          <w:sz w:val="21"/>
          <w:szCs w:val="22"/>
          <w:lang w:val="en-US" w:eastAsia="zh-CN" w:bidi="ar-SA"/>
        </w:rPr>
        <w:pict>
          <v:roundrect id="Rounded Rectangle 1064" o:spid="_x0000_s1070" style="position:absolute;left:0;margin-left:247.7pt;margin-top:486pt;height:43.55pt;width:97pt;rotation:0f;z-index:251693056;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val="en-US" w:eastAsia="zh-CN"/>
                    </w:rPr>
                  </w:pPr>
                  <w:r>
                    <w:rPr>
                      <w:rFonts w:hint="eastAsia"/>
                      <w:b w:val="0"/>
                      <w:bCs w:val="0"/>
                      <w:color w:val="000000"/>
                      <w:sz w:val="22"/>
                      <w:szCs w:val="22"/>
                      <w:lang w:val="en-US" w:eastAsia="zh-CN"/>
                    </w:rPr>
                    <w:t>延时结果通知申请单位</w:t>
                  </w:r>
                </w:p>
              </w:txbxContent>
            </v:textbox>
          </v:roundrect>
        </w:pict>
      </w:r>
      <w:r>
        <w:rPr>
          <w:rFonts w:ascii="Times New Roman" w:hAnsi="Times New Roman" w:eastAsia="华文仿宋" w:cs="Times New Roman"/>
          <w:kern w:val="2"/>
          <w:sz w:val="21"/>
          <w:szCs w:val="22"/>
          <w:lang w:val="en-US" w:eastAsia="zh-CN" w:bidi="ar-SA"/>
        </w:rPr>
        <w:pict>
          <v:roundrect id="Rounded Rectangle 1065" o:spid="_x0000_s1071" style="position:absolute;left:0;margin-left:246.6pt;margin-top:411.8pt;height:47.8pt;width:99.4pt;rotation:0f;z-index:251692032;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val="en-US" w:eastAsia="zh-CN"/>
                    </w:rPr>
                  </w:pPr>
                  <w:r>
                    <w:rPr>
                      <w:rFonts w:hint="eastAsia"/>
                      <w:b w:val="0"/>
                      <w:bCs w:val="0"/>
                      <w:color w:val="000000"/>
                      <w:sz w:val="22"/>
                      <w:szCs w:val="22"/>
                      <w:lang w:val="en-US" w:eastAsia="zh-CN"/>
                    </w:rPr>
                    <w:t>报请主管部领导申请延时</w:t>
                  </w:r>
                </w:p>
              </w:txbxContent>
            </v:textbox>
          </v:roundrect>
        </w:pict>
      </w:r>
      <w:r>
        <w:rPr>
          <w:rFonts w:ascii="Times New Roman" w:hAnsi="Times New Roman" w:eastAsia="华文仿宋" w:cs="Times New Roman"/>
          <w:kern w:val="2"/>
          <w:sz w:val="21"/>
          <w:szCs w:val="22"/>
          <w:lang w:val="en-US" w:eastAsia="zh-CN" w:bidi="ar-SA"/>
        </w:rPr>
        <w:pict>
          <v:rect id="Rectangle 1066" o:spid="_x0000_s1072" style="position:absolute;left:0;margin-left:74.2pt;margin-top:500.85pt;height:23.75pt;width:140.2pt;rotation:0f;z-index:25169510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eastAsia="zh-CN"/>
                    </w:rPr>
                  </w:pPr>
                  <w:r>
                    <w:rPr>
                      <w:rFonts w:hint="eastAsia"/>
                      <w:b w:val="0"/>
                      <w:bCs w:val="0"/>
                      <w:color w:val="000000"/>
                      <w:sz w:val="22"/>
                      <w:szCs w:val="22"/>
                      <w:lang w:eastAsia="zh-CN"/>
                    </w:rPr>
                    <w:t>规划司行文办理批复</w:t>
                  </w:r>
                </w:p>
              </w:txbxContent>
            </v:textbox>
          </v:rect>
        </w:pict>
      </w:r>
      <w:r>
        <w:rPr>
          <w:rFonts w:ascii="Times New Roman" w:hAnsi="Times New Roman" w:eastAsia="华文仿宋" w:cs="Times New Roman"/>
          <w:kern w:val="2"/>
          <w:sz w:val="21"/>
          <w:szCs w:val="22"/>
          <w:lang w:val="en-US" w:eastAsia="zh-CN" w:bidi="ar-SA"/>
        </w:rPr>
        <w:pict>
          <v:rect id="Rectangle 1067" o:spid="_x0000_s1073" style="position:absolute;left:0;margin-left:72.7pt;margin-top:452.35pt;height:27.6pt;width:143.5pt;rotation:0f;z-index:251694080;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eastAsia="zh-CN"/>
                    </w:rPr>
                  </w:pPr>
                  <w:r>
                    <w:rPr>
                      <w:rFonts w:hint="eastAsia"/>
                      <w:b w:val="0"/>
                      <w:bCs w:val="0"/>
                      <w:color w:val="000000"/>
                      <w:sz w:val="22"/>
                      <w:szCs w:val="22"/>
                      <w:lang w:eastAsia="zh-CN"/>
                    </w:rPr>
                    <w:t>形成核准意见</w:t>
                  </w:r>
                </w:p>
              </w:txbxContent>
            </v:textbox>
          </v:rect>
        </w:pict>
      </w:r>
      <w:r>
        <w:rPr>
          <w:rFonts w:ascii="Times New Roman" w:hAnsi="Times New Roman" w:eastAsia="华文仿宋" w:cs="Times New Roman"/>
          <w:kern w:val="2"/>
          <w:sz w:val="21"/>
          <w:szCs w:val="22"/>
          <w:lang w:val="en-US" w:eastAsia="zh-CN" w:bidi="ar-SA"/>
        </w:rPr>
        <w:pict>
          <v:shape id="Diamond 1068" o:spid="_x0000_s1074" type="#_x0000_t4" style="position:absolute;left:0;margin-left:64.6pt;margin-top:384.05pt;height:43.55pt;width:159.85pt;rotation:0f;z-index:251691008;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eastAsia="zh-CN"/>
                    </w:rPr>
                  </w:pPr>
                  <w:r>
                    <w:rPr>
                      <w:rFonts w:hint="eastAsia"/>
                      <w:b w:val="0"/>
                      <w:bCs w:val="0"/>
                      <w:color w:val="000000"/>
                      <w:sz w:val="22"/>
                      <w:szCs w:val="22"/>
                      <w:lang w:eastAsia="zh-CN"/>
                    </w:rPr>
                    <w:t>是否需要延时</w:t>
                  </w:r>
                </w:p>
              </w:txbxContent>
            </v:textbox>
          </v:shape>
        </w:pict>
      </w:r>
      <w:r>
        <w:rPr>
          <w:rFonts w:ascii="Times New Roman" w:hAnsi="Times New Roman" w:eastAsia="华文仿宋" w:cs="Times New Roman"/>
          <w:kern w:val="2"/>
          <w:sz w:val="21"/>
          <w:szCs w:val="22"/>
          <w:lang w:val="en-US" w:eastAsia="zh-CN" w:bidi="ar-SA"/>
        </w:rPr>
        <w:pict>
          <v:shape id="Straight Connector 1069" o:spid="_x0000_s1075" type="#_x0000_t32" style="position:absolute;left:0;margin-left:144.3pt;margin-top:524.6pt;height:25.25pt;width:0.4pt;rotation:0f;z-index:25170739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70" o:spid="_x0000_s1076" type="#_x0000_t32" style="position:absolute;left:0;flip:x;margin-left:144.3pt;margin-top:479.95pt;height:20.9pt;width:0.15pt;rotation:0f;z-index:25171251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71" o:spid="_x0000_s1077" type="#_x0000_t32" style="position:absolute;left:0;flip:x;margin-left:144.45pt;margin-top:427.6pt;height:24.75pt;width:0.1pt;rotation:0f;z-index:25171046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Elbow Connector 1072" o:spid="_x0000_s1078" type="#_x0000_t34" style="position:absolute;left:0;margin-left:335.15pt;margin-top:351.8pt;height:72.1pt;width:39.15pt;rotation:11796480f;z-index:251726848;" o:ole="f" fillcolor="#FFFFFF" filled="t" o:preferrelative="t" stroked="t" coordorigin="0,0" coordsize="21600,21600" adj="10786">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73" o:spid="_x0000_s1079" style="position:absolute;left:0;margin-left:374.35pt;margin-top:383.6pt;height:80.8pt;width:88.45pt;rotation:0f;z-index:251716608;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b w:val="0"/>
                      <w:bCs w:val="0"/>
                      <w:color w:val="000000"/>
                      <w:kern w:val="11"/>
                      <w:sz w:val="22"/>
                      <w:szCs w:val="22"/>
                      <w:lang w:eastAsia="zh-CN"/>
                    </w:rPr>
                  </w:pPr>
                  <w:r>
                    <w:rPr>
                      <w:rFonts w:hint="eastAsia"/>
                      <w:b w:val="0"/>
                      <w:bCs w:val="0"/>
                      <w:color w:val="000000"/>
                      <w:kern w:val="11"/>
                      <w:sz w:val="22"/>
                      <w:szCs w:val="22"/>
                      <w:lang w:val="en-US" w:eastAsia="zh-CN"/>
                    </w:rPr>
                    <w:t>协办司局受理并在7个工作日内向主办司局出具审查意见</w:t>
                  </w:r>
                </w:p>
              </w:txbxContent>
            </v:textbox>
          </v:rect>
        </w:pict>
      </w:r>
      <w:r>
        <w:rPr>
          <w:rFonts w:ascii="Times New Roman" w:hAnsi="Times New Roman" w:eastAsia="华文仿宋" w:cs="Times New Roman"/>
          <w:kern w:val="2"/>
          <w:sz w:val="21"/>
          <w:szCs w:val="22"/>
          <w:lang w:val="en-US" w:eastAsia="zh-CN" w:bidi="ar-SA"/>
        </w:rPr>
        <w:pict>
          <v:shape id="Quad Arrow 1074" o:spid="_x0000_s1080" type="#_x0000_t202" style="position:absolute;left:0;margin-left:-44.8pt;margin-top:220.3pt;height:23.5pt;width:29.5pt;rotation:0f;z-index:25172377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是</w:t>
                  </w:r>
                </w:p>
              </w:txbxContent>
            </v:textbox>
          </v:shape>
        </w:pict>
      </w:r>
      <w:r>
        <w:rPr>
          <w:rFonts w:ascii="Times New Roman" w:hAnsi="Times New Roman" w:eastAsia="华文仿宋" w:cs="Times New Roman"/>
          <w:kern w:val="2"/>
          <w:sz w:val="21"/>
          <w:szCs w:val="22"/>
          <w:lang w:val="en-US" w:eastAsia="zh-CN" w:bidi="ar-SA"/>
        </w:rPr>
        <w:pict>
          <v:roundrect id="Rounded Rectangle 1075" o:spid="_x0000_s1081" style="position:absolute;left:0;margin-left:-59.8pt;margin-top:249.3pt;height:73.2pt;width:64.1pt;rotation:0f;z-index:251667456;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val="en-US" w:eastAsia="zh-CN"/>
                    </w:rPr>
                  </w:pPr>
                  <w:r>
                    <w:rPr>
                      <w:rFonts w:hint="eastAsia"/>
                      <w:b w:val="0"/>
                      <w:bCs w:val="0"/>
                      <w:color w:val="000000"/>
                      <w:sz w:val="22"/>
                      <w:szCs w:val="22"/>
                      <w:lang w:val="en-US" w:eastAsia="zh-CN"/>
                    </w:rPr>
                    <w:t>3个工作日内送相关部门征求意见</w:t>
                  </w:r>
                </w:p>
              </w:txbxContent>
            </v:textbox>
          </v:roundrect>
        </w:pict>
      </w:r>
      <w:r>
        <w:rPr>
          <w:rFonts w:ascii="Times New Roman" w:hAnsi="Times New Roman" w:eastAsia="华文仿宋" w:cs="Times New Roman"/>
          <w:kern w:val="2"/>
          <w:sz w:val="21"/>
          <w:szCs w:val="22"/>
          <w:lang w:val="en-US" w:eastAsia="zh-CN" w:bidi="ar-SA"/>
        </w:rPr>
        <w:pict>
          <v:rect id="Rectangle 1076" o:spid="_x0000_s1082" style="position:absolute;left:0;margin-left:-38.9pt;margin-top:338.05pt;height:27.6pt;width:374.15pt;rotation:0f;z-index:-251656192;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意见汇总至规划司</w:t>
                  </w:r>
                </w:p>
              </w:txbxContent>
            </v:textbox>
          </v:rect>
        </w:pict>
      </w:r>
      <w:r>
        <w:rPr>
          <w:rFonts w:ascii="Times New Roman" w:hAnsi="Times New Roman" w:eastAsia="华文仿宋" w:cs="Times New Roman"/>
          <w:kern w:val="2"/>
          <w:sz w:val="21"/>
          <w:szCs w:val="22"/>
          <w:lang w:val="en-US" w:eastAsia="zh-CN" w:bidi="ar-SA"/>
        </w:rPr>
        <w:pict>
          <v:shape id="Quad Arrow 1077" o:spid="_x0000_s1083" type="#_x0000_t202" style="position:absolute;left:0;margin-left:77.1pt;margin-top:306.8pt;height:23.5pt;width:29.45pt;rotation:0f;z-index:25167360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否</w:t>
                  </w:r>
                </w:p>
              </w:txbxContent>
            </v:textbox>
          </v:shape>
        </w:pict>
      </w:r>
      <w:r>
        <w:rPr>
          <w:rFonts w:ascii="Times New Roman" w:hAnsi="Times New Roman" w:eastAsia="华文仿宋" w:cs="Times New Roman"/>
          <w:kern w:val="2"/>
          <w:sz w:val="21"/>
          <w:szCs w:val="22"/>
          <w:lang w:val="en-US" w:eastAsia="zh-CN" w:bidi="ar-SA"/>
        </w:rPr>
        <w:pict>
          <v:shape id="Straight Connector 1078" o:spid="_x0000_s1084" type="#_x0000_t32" style="position:absolute;left:0;margin-left:416.1pt;margin-top:315.25pt;height:21.25pt;width:0.2pt;rotation:0f;z-index:25171558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line id="Line 1079" o:spid="_x0000_s1085" style="position:absolute;left:0;flip:y;margin-left:74.35pt;margin-top:220.05pt;height:0.7pt;width:341.9pt;rotation:0f;z-index:-251658240;" o:ole="f" fillcolor="#FFFFFF" filled="f" o:preferrelative="t" stroked="t" coordsize="21600,21600">
            <v:fill on="f" color2="#FFFFFF" focus="0%"/>
            <v:stroke color="#333333" color2="#FFFFFF" miterlimit="2"/>
            <v:imagedata gain="65536f" blacklevel="0f" gamma="0"/>
            <o:lock v:ext="edit" position="f" selection="f" grouping="f" rotation="f" cropping="f" text="f" aspectratio="f"/>
          </v:line>
        </w:pict>
      </w:r>
      <w:r>
        <w:rPr>
          <w:rFonts w:ascii="Times New Roman" w:hAnsi="Times New Roman" w:eastAsia="华文仿宋" w:cs="Times New Roman"/>
          <w:kern w:val="2"/>
          <w:sz w:val="21"/>
          <w:szCs w:val="22"/>
          <w:lang w:val="en-US" w:eastAsia="zh-CN" w:bidi="ar-SA"/>
        </w:rPr>
        <w:pict>
          <v:shape id="Straight Connector 1080" o:spid="_x0000_s1086" type="#_x0000_t32" style="position:absolute;left:0;margin-left:74.5pt;margin-top:220.75pt;height:21.55pt;width:0.15pt;rotation:0f;z-index:-251657216;"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81" o:spid="_x0000_s1087" type="#_x0000_t32" style="position:absolute;left:0;margin-left:415.7pt;margin-top:219.65pt;height:22.75pt;width:0.4pt;rotation:0f;z-index:-25165414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Diamond 1082" o:spid="_x0000_s1088" type="#_x0000_t4" style="position:absolute;left:0;margin-left:12.15pt;margin-top:242.3pt;height:74.9pt;width:124.95pt;rotation:0f;z-index:251687936;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b w:val="0"/>
                      <w:bCs w:val="0"/>
                      <w:color w:val="000000"/>
                      <w:sz w:val="22"/>
                      <w:szCs w:val="22"/>
                      <w:lang w:eastAsia="zh-CN"/>
                    </w:rPr>
                  </w:pPr>
                  <w:r>
                    <w:rPr>
                      <w:rFonts w:hint="eastAsia"/>
                      <w:b w:val="0"/>
                      <w:bCs w:val="0"/>
                      <w:color w:val="000000"/>
                      <w:sz w:val="22"/>
                      <w:szCs w:val="22"/>
                      <w:lang w:eastAsia="zh-CN"/>
                    </w:rPr>
                    <w:t>需征求其他部门意见</w:t>
                  </w:r>
                </w:p>
              </w:txbxContent>
            </v:textbox>
          </v:shape>
        </w:pict>
      </w:r>
      <w:r>
        <w:rPr>
          <w:rFonts w:ascii="Times New Roman" w:hAnsi="Times New Roman" w:eastAsia="华文仿宋" w:cs="Times New Roman"/>
          <w:kern w:val="2"/>
          <w:sz w:val="21"/>
          <w:szCs w:val="22"/>
          <w:lang w:val="en-US" w:eastAsia="zh-CN" w:bidi="ar-SA"/>
        </w:rPr>
        <w:pict>
          <v:rect id="Rectangle 1083" o:spid="_x0000_s1089" style="position:absolute;left:0;margin-left:382.55pt;margin-top:182.7pt;height:24.2pt;width:47.55pt;rotation:0f;z-index:251686912;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color w:val="000000"/>
                      <w:spacing w:val="-20"/>
                      <w:sz w:val="22"/>
                      <w:szCs w:val="22"/>
                      <w:lang w:eastAsia="zh-CN"/>
                    </w:rPr>
                  </w:pPr>
                  <w:r>
                    <w:rPr>
                      <w:rFonts w:hint="eastAsia"/>
                      <w:color w:val="000000"/>
                      <w:spacing w:val="-20"/>
                      <w:sz w:val="22"/>
                      <w:szCs w:val="22"/>
                      <w:lang w:eastAsia="zh-CN"/>
                    </w:rPr>
                    <w:t>网安局</w:t>
                  </w:r>
                </w:p>
              </w:txbxContent>
            </v:textbox>
          </v:rect>
        </w:pict>
      </w:r>
      <w:r>
        <w:rPr>
          <w:rFonts w:ascii="Times New Roman" w:hAnsi="Times New Roman" w:eastAsia="华文仿宋" w:cs="Times New Roman"/>
          <w:kern w:val="2"/>
          <w:sz w:val="21"/>
          <w:szCs w:val="22"/>
          <w:lang w:val="en-US" w:eastAsia="zh-CN" w:bidi="ar-SA"/>
        </w:rPr>
        <w:pict>
          <v:shape id="Straight Connector 1084" o:spid="_x0000_s1090" type="#_x0000_t32" style="position:absolute;left:0;flip:x;margin-left:257.7pt;margin-top:167.2pt;height:14.8pt;width:0.05pt;rotation:0f;z-index:251702272;"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85" o:spid="_x0000_s1091" style="position:absolute;left:0;margin-left:232.6pt;margin-top:182pt;height:25.3pt;width:50.2pt;rotation:0f;z-index:25168486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节能司</w:t>
                  </w:r>
                </w:p>
              </w:txbxContent>
            </v:textbox>
          </v:rect>
        </w:pict>
      </w:r>
      <w:r>
        <w:rPr>
          <w:rFonts w:ascii="Times New Roman" w:hAnsi="Times New Roman" w:eastAsia="华文仿宋" w:cs="Times New Roman"/>
          <w:kern w:val="2"/>
          <w:sz w:val="21"/>
          <w:szCs w:val="22"/>
          <w:lang w:val="en-US" w:eastAsia="zh-CN" w:bidi="ar-SA"/>
        </w:rPr>
        <w:pict>
          <v:line id="Line 1086" o:spid="_x0000_s1092" style="position:absolute;left:0;margin-left:257.75pt;margin-top:167.2pt;height:1.05pt;width:148.25pt;rotation:0f;z-index:251718656;" o:ole="f" fillcolor="#FFFFFF" filled="f" o:preferrelative="t" stroked="t" coordsize="21600,21600">
            <v:fill on="f" color2="#FFFFFF" focus="0%"/>
            <v:stroke color="#333333" color2="#FFFFFF" miterlimit="2"/>
            <v:imagedata gain="65536f" blacklevel="0f" gamma="0"/>
            <o:lock v:ext="edit" position="f" selection="f" grouping="f" rotation="f" cropping="f" text="f" aspectratio="f"/>
          </v:line>
        </w:pict>
      </w:r>
      <w:r>
        <w:rPr>
          <w:rFonts w:ascii="Times New Roman" w:hAnsi="Times New Roman" w:eastAsia="华文仿宋" w:cs="Times New Roman"/>
          <w:kern w:val="2"/>
          <w:sz w:val="21"/>
          <w:szCs w:val="22"/>
          <w:lang w:val="en-US" w:eastAsia="zh-CN" w:bidi="ar-SA"/>
        </w:rPr>
        <w:pict>
          <v:shape id="Diamond 1087" o:spid="_x0000_s1093" type="#_x0000_t4" style="position:absolute;left:0;margin-left:273.4pt;margin-top:121.65pt;height:35.9pt;width:124.05pt;rotation:0f;z-index:251682816;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eastAsia="zh-CN"/>
                    </w:rPr>
                  </w:pPr>
                  <w:r>
                    <w:rPr>
                      <w:rFonts w:hint="eastAsia"/>
                      <w:color w:val="000000"/>
                      <w:sz w:val="22"/>
                      <w:szCs w:val="22"/>
                      <w:lang w:eastAsia="zh-CN"/>
                    </w:rPr>
                    <w:t>信息安全</w:t>
                  </w:r>
                </w:p>
              </w:txbxContent>
            </v:textbox>
          </v:shape>
        </w:pict>
      </w:r>
      <w:r>
        <w:rPr>
          <w:rFonts w:ascii="Times New Roman" w:hAnsi="Times New Roman" w:eastAsia="华文仿宋" w:cs="Times New Roman"/>
          <w:kern w:val="2"/>
          <w:sz w:val="21"/>
          <w:szCs w:val="22"/>
          <w:lang w:val="en-US" w:eastAsia="zh-CN" w:bidi="ar-SA"/>
        </w:rPr>
        <w:pict>
          <v:rect id="Rectangle 1088" o:spid="_x0000_s1094" style="position:absolute;left:0;margin-left:310.5pt;margin-top:181.85pt;height:25.9pt;width:50.15pt;rotation:0f;z-index:251685888;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color w:val="000000"/>
                      <w:sz w:val="22"/>
                      <w:szCs w:val="22"/>
                      <w:lang w:eastAsia="zh-CN"/>
                    </w:rPr>
                  </w:pPr>
                  <w:r>
                    <w:rPr>
                      <w:rFonts w:hint="eastAsia"/>
                      <w:color w:val="000000"/>
                      <w:sz w:val="22"/>
                      <w:szCs w:val="22"/>
                      <w:lang w:eastAsia="zh-CN"/>
                    </w:rPr>
                    <w:t>通信司</w:t>
                  </w:r>
                </w:p>
              </w:txbxContent>
            </v:textbox>
          </v:rect>
        </w:pict>
      </w:r>
      <w:r>
        <w:rPr>
          <w:rFonts w:ascii="Times New Roman" w:hAnsi="Times New Roman" w:eastAsia="华文仿宋" w:cs="Times New Roman"/>
          <w:kern w:val="2"/>
          <w:sz w:val="21"/>
          <w:szCs w:val="22"/>
          <w:lang w:val="en-US" w:eastAsia="zh-CN" w:bidi="ar-SA"/>
        </w:rPr>
        <w:pict>
          <v:rect id="Rectangle 1089" o:spid="_x0000_s1095" style="position:absolute;left:0;margin-left:-36.7pt;margin-top:83.95pt;height:21.75pt;width:125.1pt;rotation:0f;z-index:25167974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color w:val="000000"/>
                      <w:sz w:val="22"/>
                      <w:szCs w:val="22"/>
                      <w:lang w:eastAsia="zh-CN"/>
                    </w:rPr>
                  </w:pPr>
                  <w:r>
                    <w:rPr>
                      <w:rFonts w:hint="eastAsia"/>
                      <w:color w:val="000000"/>
                      <w:sz w:val="22"/>
                      <w:szCs w:val="22"/>
                      <w:lang w:eastAsia="zh-CN"/>
                    </w:rPr>
                    <w:t>出具盖章的受理通知书</w:t>
                  </w:r>
                </w:p>
              </w:txbxContent>
            </v:textbox>
          </v:rect>
        </w:pict>
      </w:r>
      <w:r>
        <w:rPr>
          <w:rFonts w:ascii="Times New Roman" w:hAnsi="Times New Roman" w:eastAsia="华文仿宋" w:cs="Times New Roman"/>
          <w:kern w:val="2"/>
          <w:sz w:val="21"/>
          <w:szCs w:val="22"/>
          <w:lang w:val="en-US" w:eastAsia="zh-CN" w:bidi="ar-SA"/>
        </w:rPr>
        <w:pict>
          <v:shape id="Elbow Connector 1090" o:spid="_x0000_s1096" type="#_x0000_t34" style="position:absolute;left:0;margin-left:88.4pt;margin-top:94.85pt;height:47.2pt;width:71.05pt;rotation:0f;z-index:251717632;" o:ole="f" fillcolor="#FFFFFF" filled="t" o:preferrelative="t" stroked="t" coordorigin="0,0" coordsize="21600,21600" adj="2767">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Quad Arrow 1091" o:spid="_x0000_s1097" type="#_x0000_t202" style="position:absolute;left:0;margin-left:90.9pt;margin-top:72.4pt;height:23.5pt;width:29.45pt;rotation:0f;z-index:251670528;"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宋体"/>
                      <w:sz w:val="18"/>
                      <w:szCs w:val="18"/>
                      <w:lang w:eastAsia="zh-CN"/>
                    </w:rPr>
                  </w:pPr>
                  <w:r>
                    <w:rPr>
                      <w:rFonts w:hint="eastAsia"/>
                      <w:sz w:val="18"/>
                      <w:szCs w:val="18"/>
                      <w:lang w:eastAsia="zh-CN"/>
                    </w:rPr>
                    <w:t>是</w:t>
                  </w:r>
                </w:p>
              </w:txbxContent>
            </v:textbox>
          </v:shape>
        </w:pict>
      </w:r>
      <w:r>
        <w:rPr>
          <w:rFonts w:ascii="Times New Roman" w:hAnsi="Times New Roman" w:eastAsia="华文仿宋" w:cs="Times New Roman"/>
          <w:kern w:val="2"/>
          <w:sz w:val="21"/>
          <w:szCs w:val="22"/>
          <w:lang w:val="en-US" w:eastAsia="zh-CN" w:bidi="ar-SA"/>
        </w:rPr>
        <w:pict>
          <v:shape id="Straight Connector 1092" o:spid="_x0000_s1098" type="#_x0000_t32" style="position:absolute;left:0;flip:x;margin-left:74pt;margin-top:317.2pt;height:21.55pt;width:0.65pt;rotation:0f;z-index:251720704;"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93" o:spid="_x0000_s1099" type="#_x0000_t32" style="position:absolute;left:0;margin-left:335.45pt;margin-top:157.55pt;height:24.3pt;width:0.15pt;rotation:0f;z-index:251703296;"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94" o:spid="_x0000_s1100" type="#_x0000_t32" style="position:absolute;left:0;margin-left:406pt;margin-top:168.25pt;height:14.45pt;width:0.35pt;rotation:0f;z-index:251704320;"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Diamond 1095" o:spid="_x0000_s1101" type="#_x0000_t4" style="position:absolute;left:0;margin-left:124.5pt;margin-top:76.5pt;height:36.3pt;width:150.85pt;rotation:0f;z-index:251677696;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color w:val="000000"/>
                      <w:sz w:val="22"/>
                      <w:szCs w:val="22"/>
                      <w:lang w:eastAsia="zh-CN"/>
                    </w:rPr>
                  </w:pPr>
                  <w:r>
                    <w:rPr>
                      <w:rFonts w:hint="eastAsia"/>
                      <w:color w:val="000000"/>
                      <w:sz w:val="22"/>
                      <w:szCs w:val="22"/>
                      <w:lang w:eastAsia="zh-CN"/>
                    </w:rPr>
                    <w:t>是否符合要求</w:t>
                  </w:r>
                </w:p>
              </w:txbxContent>
            </v:textbox>
          </v:shape>
        </w:pict>
      </w:r>
      <w:r>
        <w:rPr>
          <w:rFonts w:ascii="Times New Roman" w:hAnsi="Times New Roman" w:eastAsia="华文仿宋" w:cs="Times New Roman"/>
          <w:kern w:val="2"/>
          <w:sz w:val="21"/>
          <w:szCs w:val="22"/>
          <w:lang w:val="en-US" w:eastAsia="zh-CN" w:bidi="ar-SA"/>
        </w:rPr>
        <w:pict>
          <v:shape id="Flowchart: Preparation 1096" o:spid="_x0000_s1102" type="#_x0000_t117" style="position:absolute;left:0;margin-left:106.9pt;margin-top:1.05pt;height:21.8pt;width:186.6pt;rotation:0f;z-index:251674624;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color w:val="000000"/>
                      <w:sz w:val="22"/>
                      <w:szCs w:val="22"/>
                      <w:lang w:val="en-US" w:eastAsia="zh-CN"/>
                    </w:rPr>
                  </w:pPr>
                  <w:r>
                    <w:rPr>
                      <w:rFonts w:hint="eastAsia"/>
                      <w:color w:val="000000"/>
                      <w:sz w:val="22"/>
                      <w:szCs w:val="22"/>
                      <w:lang w:eastAsia="zh-CN"/>
                    </w:rPr>
                    <w:t>办公厅收到申请材料</w:t>
                  </w:r>
                </w:p>
              </w:txbxContent>
            </v:textbox>
          </v:shape>
        </w:pict>
      </w:r>
      <w:r>
        <w:rPr>
          <w:rFonts w:ascii="Times New Roman" w:hAnsi="Times New Roman" w:eastAsia="华文仿宋" w:cs="Times New Roman"/>
          <w:kern w:val="2"/>
          <w:sz w:val="21"/>
          <w:szCs w:val="22"/>
          <w:lang w:val="en-US" w:eastAsia="zh-CN" w:bidi="ar-SA"/>
        </w:rPr>
        <w:pict>
          <v:shape id="Straight Connector 1097" o:spid="_x0000_s1103" type="#_x0000_t32" style="position:absolute;left:0;flip:x;margin-left:32.7pt;margin-top:173.1pt;height:9.5pt;width:0.1pt;rotation:0f;z-index:251701248;" o:ole="f" fillcolor="#FFFFFF" filled="t" o:preferrelative="t" stroked="t" coordorigin="0,0" coordsize="21600,21600">
            <v:stroke color="#333333" color2="#FFFFFF" miterlimit="2" endarrow="open"/>
            <v:imagedata gain="65536f" blacklevel="0f" gamma="0"/>
            <o:lock v:ext="edit" position="f" selection="f" grouping="f" rotation="f" cropping="f" text="f" aspectratio="f"/>
          </v:shape>
        </w:pict>
      </w:r>
    </w:p>
    <w:bookmarkEnd w:id="39"/>
    <w:p>
      <w:pPr>
        <w:pStyle w:val="3"/>
        <w:numPr>
          <w:ilvl w:val="0"/>
          <w:numId w:val="0"/>
        </w:numPr>
        <w:spacing w:before="156"/>
        <w:ind w:left="560" w:leftChars="200"/>
      </w:pPr>
      <w:bookmarkStart w:id="40" w:name="_Toc7238"/>
      <w:r>
        <w:rPr>
          <w:rFonts w:hint="eastAsia"/>
        </w:rPr>
        <w:t>附录</w:t>
      </w:r>
      <w:r>
        <w:rPr>
          <w:rFonts w:hint="eastAsia"/>
          <w:lang w:eastAsia="zh-CN"/>
        </w:rPr>
        <w:t>二</w:t>
      </w:r>
      <w:r>
        <w:rPr>
          <w:rFonts w:hint="eastAsia"/>
        </w:rPr>
        <w:t>：省际干线传输网发展规划示范文本</w:t>
      </w:r>
      <w:bookmarkEnd w:id="40"/>
    </w:p>
    <w:p>
      <w:pPr>
        <w:spacing w:line="20" w:lineRule="exact"/>
        <w:ind w:firstLine="420"/>
        <w:rPr>
          <w:rFonts w:eastAsia="宋体"/>
          <w:sz w:val="21"/>
          <w:szCs w:val="21"/>
        </w:rPr>
      </w:pP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省际干线传输网发展规划编制要求</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（一）规划应包含以下基本内容</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省际干线传输网规划中包含国际通信设施境内延伸段建设项目。传输网发展现状（容量、技术水平等）、传输网发展需求预测、传输网发展思路和目标、传输网路由图（含现状和规划）、规划期内传输网建设项目框架（路由、规模、建设时间、投资及资金筹措）。</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（二）规划应对当年情况做详细说明</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1、现状描述：上一年度省际干线传输网建设项目的完成情况；长途传输网现状，包括光缆、传输系统和枢纽楼终端设备配置情况及使用年限等，重点描述长途光缆网的使用情况及存在问题，简要描述传输网对业务的支撑情况。其中，进出藏光缆进展情况应详细描述。</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2、需求分析：各业务网对传输资源需求预测。</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3、规划思路：省际干线传输网的总体规划思路、发展目标，以及向目标网络演进的策略和步骤。</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4、建设方案：省际干线传输网的建设原则、建设方案及工程建设项目，分为光缆和传输系统（WDM、SDH）两个方面，重点描述长途光缆的建设项目，充分论证规划期内长途光缆的建设理由、建设方式（租、购、联建、自建）和经济性。</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5、投资估算：省际干线传输网的项目投资估算。</w:t>
      </w:r>
    </w:p>
    <w:p>
      <w:pPr>
        <w:spacing w:line="20" w:lineRule="exact"/>
      </w:pPr>
    </w:p>
    <w:p>
      <w:pPr>
        <w:pStyle w:val="3"/>
        <w:numPr>
          <w:ilvl w:val="0"/>
          <w:numId w:val="0"/>
        </w:numPr>
        <w:spacing w:before="156"/>
      </w:pPr>
      <w:r>
        <w:rPr>
          <w:rFonts w:hint="eastAsia"/>
          <w:lang w:val="en-US" w:eastAsia="zh-CN"/>
        </w:rPr>
        <w:t xml:space="preserve">    </w:t>
      </w:r>
      <w:bookmarkStart w:id="41" w:name="_Toc9357"/>
      <w:r>
        <w:rPr>
          <w:rFonts w:hint="eastAsia"/>
        </w:rPr>
        <w:t>附录</w:t>
      </w:r>
      <w:r>
        <w:rPr>
          <w:rFonts w:hint="eastAsia"/>
          <w:lang w:eastAsia="zh-CN"/>
        </w:rPr>
        <w:t>三</w:t>
      </w:r>
      <w:r>
        <w:rPr>
          <w:rFonts w:hint="eastAsia"/>
        </w:rPr>
        <w:t>：常见错误示例</w:t>
      </w:r>
      <w:bookmarkEnd w:id="41"/>
    </w:p>
    <w:p>
      <w:pPr>
        <w:widowControl w:val="0"/>
        <w:numPr>
          <w:numId w:val="0"/>
        </w:numPr>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（一）规划内容未包含传输网路由图（含现状和规划）。</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（二）未将当年</w:t>
      </w:r>
      <w:r>
        <w:rPr>
          <w:rFonts w:hint="default"/>
          <w:lang w:eastAsia="zh-CN"/>
        </w:rPr>
        <w:t>拟</w:t>
      </w:r>
      <w:r>
        <w:rPr>
          <w:rFonts w:hint="eastAsia"/>
          <w:lang w:val="en-US" w:eastAsia="zh-CN"/>
        </w:rPr>
        <w:t>建设的项目纳入规划中。</w:t>
      </w:r>
    </w:p>
    <w:p>
      <w:pPr>
        <w:pStyle w:val="3"/>
        <w:numPr>
          <w:ilvl w:val="0"/>
          <w:numId w:val="0"/>
        </w:numPr>
        <w:spacing w:before="156"/>
        <w:ind w:left="560" w:leftChars="200"/>
      </w:pPr>
      <w:bookmarkStart w:id="42" w:name="_Toc25650"/>
      <w:r>
        <w:rPr>
          <w:rFonts w:hint="eastAsia"/>
        </w:rPr>
        <w:t>附录</w:t>
      </w:r>
      <w:r>
        <w:rPr>
          <w:rFonts w:hint="eastAsia"/>
          <w:lang w:eastAsia="zh-CN"/>
        </w:rPr>
        <w:t>四</w:t>
      </w:r>
      <w:r>
        <w:rPr>
          <w:rFonts w:hint="eastAsia"/>
        </w:rPr>
        <w:t>：常见问题解答</w:t>
      </w:r>
      <w:bookmarkEnd w:id="42"/>
    </w:p>
    <w:p>
      <w:pPr>
        <w:numPr>
          <w:numId w:val="0"/>
        </w:numPr>
        <w:ind w:firstLine="560" w:firstLineChars="200"/>
        <w:rPr>
          <w:rFonts w:hint="eastAsia"/>
          <w:lang w:val="en-US" w:eastAsia="zh-CN"/>
        </w:rPr>
      </w:pPr>
      <w:r>
        <w:rPr>
          <w:rFonts w:hint="eastAsia"/>
          <w:lang w:val="en-US" w:eastAsia="zh-CN"/>
        </w:rPr>
        <w:t>工业和信息化部批复的是滚动规划还是规划中的项目？</w:t>
      </w:r>
    </w:p>
    <w:p>
      <w:pPr>
        <w:numPr>
          <w:numId w:val="0"/>
        </w:numPr>
        <w:ind w:firstLine="560" w:firstLineChars="200"/>
        <w:rPr>
          <w:rFonts w:hint="eastAsia"/>
          <w:lang w:val="en-US" w:eastAsia="zh-CN"/>
        </w:rPr>
      </w:pPr>
      <w:r>
        <w:rPr>
          <w:rFonts w:hint="eastAsia"/>
        </w:rPr>
        <w:t>答：</w:t>
      </w:r>
      <w:r>
        <w:rPr>
          <w:rFonts w:hint="eastAsia"/>
          <w:lang w:eastAsia="zh-CN"/>
        </w:rPr>
        <w:t>为贯彻落实简政放权、放管结合、优化服务改革，我们推进以规划为依据，一揽子核准规划中当年的国内干线传输网（含广播电视网）项目，优化工作程序，提高工作效率，为企业做好服务。</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auto"/>
    <w:pitch w:val="default"/>
    <w:sig w:usb0="00000001" w:usb1="080E0000" w:usb2="00000000" w:usb3="00000000" w:csb0="00040000" w:csb1="00000000"/>
  </w:font>
  <w:font w:name="隶书">
    <w:altName w:val="微软雅黑"/>
    <w:panose1 w:val="0201050906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华文仿宋" w:cs="Times New Roman"/>
        <w:kern w:val="0"/>
        <w:sz w:val="18"/>
        <w:szCs w:val="22"/>
        <w:lang w:val="en-US" w:eastAsia="zh-CN" w:bidi="ar-SA"/>
      </w:rPr>
      <w:pict>
        <v:rect id="文本框 8"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95372560">
    <w:nsid w:val="59219310"/>
    <w:multiLevelType w:val="singleLevel"/>
    <w:tmpl w:val="59219310"/>
    <w:lvl w:ilvl="0" w:tentative="1">
      <w:start w:val="1"/>
      <w:numFmt w:val="chineseCounting"/>
      <w:suff w:val="nothing"/>
      <w:lvlText w:val="%1、"/>
      <w:lvlJc w:val="left"/>
    </w:lvl>
  </w:abstractNum>
  <w:abstractNum w:abstractNumId="1495500044">
    <w:nsid w:val="5923850C"/>
    <w:multiLevelType w:val="singleLevel"/>
    <w:tmpl w:val="5923850C"/>
    <w:lvl w:ilvl="0" w:tentative="1">
      <w:start w:val="1"/>
      <w:numFmt w:val="chineseCounting"/>
      <w:pStyle w:val="3"/>
      <w:suff w:val="nothing"/>
      <w:lvlText w:val="%1、"/>
      <w:lvlJc w:val="left"/>
      <w:pPr>
        <w:tabs>
          <w:tab w:val="left" w:pos="0"/>
        </w:tabs>
        <w:ind w:left="0" w:firstLine="0"/>
      </w:pPr>
      <w:rPr>
        <w:rFonts w:hint="eastAsia" w:eastAsia="黑体"/>
        <w:b/>
        <w:sz w:val="28"/>
      </w:rPr>
    </w:lvl>
  </w:abstractNum>
  <w:abstractNum w:abstractNumId="1495375367">
    <w:nsid w:val="59219E07"/>
    <w:multiLevelType w:val="singleLevel"/>
    <w:tmpl w:val="59219E07"/>
    <w:lvl w:ilvl="0" w:tentative="1">
      <w:start w:val="1"/>
      <w:numFmt w:val="chineseCounting"/>
      <w:pStyle w:val="4"/>
      <w:suff w:val="nothing"/>
      <w:lvlText w:val="（%1）"/>
      <w:lvlJc w:val="left"/>
      <w:pPr>
        <w:ind w:left="0" w:firstLine="0"/>
      </w:pPr>
      <w:rPr>
        <w:rFonts w:hint="eastAsia"/>
      </w:rPr>
    </w:lvl>
  </w:abstractNum>
  <w:abstractNum w:abstractNumId="1495500068">
    <w:nsid w:val="59238524"/>
    <w:multiLevelType w:val="singleLevel"/>
    <w:tmpl w:val="59238524"/>
    <w:lvl w:ilvl="0" w:tentative="1">
      <w:start w:val="1"/>
      <w:numFmt w:val="chineseCounting"/>
      <w:suff w:val="nothing"/>
      <w:lvlText w:val="%1、"/>
      <w:lvlJc w:val="left"/>
      <w:pPr>
        <w:ind w:left="0" w:firstLine="0"/>
      </w:pPr>
      <w:rPr>
        <w:rFonts w:hint="eastAsia"/>
      </w:rPr>
    </w:lvl>
  </w:abstractNum>
  <w:num w:numId="1">
    <w:abstractNumId w:val="1495500044"/>
  </w:num>
  <w:num w:numId="2">
    <w:abstractNumId w:val="1495375367"/>
  </w:num>
  <w:num w:numId="3">
    <w:abstractNumId w:val="1495372560"/>
  </w:num>
  <w:num w:numId="4">
    <w:abstractNumId w:val="14955000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172A27"/>
    <w:rsid w:val="002A0107"/>
    <w:rsid w:val="002F35B2"/>
    <w:rsid w:val="003C2918"/>
    <w:rsid w:val="003C3BB2"/>
    <w:rsid w:val="003E7119"/>
    <w:rsid w:val="00421BD0"/>
    <w:rsid w:val="00590A8E"/>
    <w:rsid w:val="005B74C1"/>
    <w:rsid w:val="00660A8C"/>
    <w:rsid w:val="00671C5B"/>
    <w:rsid w:val="00747150"/>
    <w:rsid w:val="007C79EE"/>
    <w:rsid w:val="00845E01"/>
    <w:rsid w:val="009A602D"/>
    <w:rsid w:val="009D790C"/>
    <w:rsid w:val="009E55EE"/>
    <w:rsid w:val="00A713D0"/>
    <w:rsid w:val="00AD3895"/>
    <w:rsid w:val="00B32595"/>
    <w:rsid w:val="00B53FA2"/>
    <w:rsid w:val="00B85776"/>
    <w:rsid w:val="00C66D1B"/>
    <w:rsid w:val="00CB21FC"/>
    <w:rsid w:val="00CE0BF1"/>
    <w:rsid w:val="00F142A9"/>
    <w:rsid w:val="00FA0BF5"/>
    <w:rsid w:val="01011150"/>
    <w:rsid w:val="010B0B8D"/>
    <w:rsid w:val="01124864"/>
    <w:rsid w:val="01234BE3"/>
    <w:rsid w:val="01361389"/>
    <w:rsid w:val="0155444A"/>
    <w:rsid w:val="015E2B79"/>
    <w:rsid w:val="015F695D"/>
    <w:rsid w:val="01857340"/>
    <w:rsid w:val="01AF45DE"/>
    <w:rsid w:val="01BB3495"/>
    <w:rsid w:val="01C36D9A"/>
    <w:rsid w:val="01D22F46"/>
    <w:rsid w:val="01E87E79"/>
    <w:rsid w:val="020C43CF"/>
    <w:rsid w:val="02181123"/>
    <w:rsid w:val="021C6183"/>
    <w:rsid w:val="021E5A4D"/>
    <w:rsid w:val="022B2C28"/>
    <w:rsid w:val="022E775B"/>
    <w:rsid w:val="0239063B"/>
    <w:rsid w:val="024F400D"/>
    <w:rsid w:val="026677D0"/>
    <w:rsid w:val="028674E5"/>
    <w:rsid w:val="028D39AF"/>
    <w:rsid w:val="02953581"/>
    <w:rsid w:val="029753DC"/>
    <w:rsid w:val="0298688C"/>
    <w:rsid w:val="029B5059"/>
    <w:rsid w:val="02A15034"/>
    <w:rsid w:val="02A51E4D"/>
    <w:rsid w:val="02CF3DFA"/>
    <w:rsid w:val="02FA0334"/>
    <w:rsid w:val="03343A85"/>
    <w:rsid w:val="037B0415"/>
    <w:rsid w:val="039B0B66"/>
    <w:rsid w:val="039E4323"/>
    <w:rsid w:val="03A94B62"/>
    <w:rsid w:val="03BD1A1D"/>
    <w:rsid w:val="03BE3C7A"/>
    <w:rsid w:val="03CA28F2"/>
    <w:rsid w:val="03E47FC7"/>
    <w:rsid w:val="03E921ED"/>
    <w:rsid w:val="03EB59BC"/>
    <w:rsid w:val="03EF5778"/>
    <w:rsid w:val="040C4A0D"/>
    <w:rsid w:val="042F3177"/>
    <w:rsid w:val="043719C1"/>
    <w:rsid w:val="043E6771"/>
    <w:rsid w:val="045C4AAE"/>
    <w:rsid w:val="046A39A7"/>
    <w:rsid w:val="04773A12"/>
    <w:rsid w:val="04782B2C"/>
    <w:rsid w:val="04917EFE"/>
    <w:rsid w:val="04926FF6"/>
    <w:rsid w:val="04B962AD"/>
    <w:rsid w:val="04DA664E"/>
    <w:rsid w:val="04DD0DDA"/>
    <w:rsid w:val="04DF5A37"/>
    <w:rsid w:val="04EE2470"/>
    <w:rsid w:val="04F57EB7"/>
    <w:rsid w:val="051D03A6"/>
    <w:rsid w:val="052D6E0E"/>
    <w:rsid w:val="05332382"/>
    <w:rsid w:val="054A7860"/>
    <w:rsid w:val="056E71E4"/>
    <w:rsid w:val="05970EC2"/>
    <w:rsid w:val="059724AA"/>
    <w:rsid w:val="05D14416"/>
    <w:rsid w:val="05DA0457"/>
    <w:rsid w:val="05FE71D0"/>
    <w:rsid w:val="06087CBF"/>
    <w:rsid w:val="063B1846"/>
    <w:rsid w:val="0647411A"/>
    <w:rsid w:val="06544486"/>
    <w:rsid w:val="06561A87"/>
    <w:rsid w:val="06584457"/>
    <w:rsid w:val="067A10FA"/>
    <w:rsid w:val="06980EB7"/>
    <w:rsid w:val="06A47BCE"/>
    <w:rsid w:val="06A51933"/>
    <w:rsid w:val="06B00447"/>
    <w:rsid w:val="06B41B23"/>
    <w:rsid w:val="06C02305"/>
    <w:rsid w:val="06C84B6F"/>
    <w:rsid w:val="06E20D8A"/>
    <w:rsid w:val="06FF4098"/>
    <w:rsid w:val="073C0040"/>
    <w:rsid w:val="07423C47"/>
    <w:rsid w:val="077027CB"/>
    <w:rsid w:val="07843CFD"/>
    <w:rsid w:val="07875E02"/>
    <w:rsid w:val="07C10493"/>
    <w:rsid w:val="07C66747"/>
    <w:rsid w:val="07D734FE"/>
    <w:rsid w:val="07D74735"/>
    <w:rsid w:val="07FB2FED"/>
    <w:rsid w:val="07FF6D5E"/>
    <w:rsid w:val="081F2D76"/>
    <w:rsid w:val="08231930"/>
    <w:rsid w:val="082F63A7"/>
    <w:rsid w:val="0872520F"/>
    <w:rsid w:val="08791EB5"/>
    <w:rsid w:val="087B6264"/>
    <w:rsid w:val="08AC1908"/>
    <w:rsid w:val="08F51F0E"/>
    <w:rsid w:val="09072CBA"/>
    <w:rsid w:val="09216A54"/>
    <w:rsid w:val="092B10DA"/>
    <w:rsid w:val="0930255E"/>
    <w:rsid w:val="09416C2B"/>
    <w:rsid w:val="0943689F"/>
    <w:rsid w:val="09471D9E"/>
    <w:rsid w:val="09504D02"/>
    <w:rsid w:val="095731EA"/>
    <w:rsid w:val="095970FA"/>
    <w:rsid w:val="09932DF7"/>
    <w:rsid w:val="09AB6DAA"/>
    <w:rsid w:val="09AC3985"/>
    <w:rsid w:val="09B13157"/>
    <w:rsid w:val="09B55074"/>
    <w:rsid w:val="09D910C1"/>
    <w:rsid w:val="09E73AA3"/>
    <w:rsid w:val="09F92D7C"/>
    <w:rsid w:val="0A153246"/>
    <w:rsid w:val="0A59405B"/>
    <w:rsid w:val="0A646338"/>
    <w:rsid w:val="0A724E0B"/>
    <w:rsid w:val="0A98177D"/>
    <w:rsid w:val="0A9841F5"/>
    <w:rsid w:val="0AAB175A"/>
    <w:rsid w:val="0AB4198A"/>
    <w:rsid w:val="0AB61695"/>
    <w:rsid w:val="0AC30403"/>
    <w:rsid w:val="0AD8134A"/>
    <w:rsid w:val="0AE86271"/>
    <w:rsid w:val="0AEF19A1"/>
    <w:rsid w:val="0AF422EF"/>
    <w:rsid w:val="0B10318F"/>
    <w:rsid w:val="0B20658D"/>
    <w:rsid w:val="0B3F4ADB"/>
    <w:rsid w:val="0B4E6859"/>
    <w:rsid w:val="0B5204BA"/>
    <w:rsid w:val="0B5A62E8"/>
    <w:rsid w:val="0B684818"/>
    <w:rsid w:val="0B6C0915"/>
    <w:rsid w:val="0B783890"/>
    <w:rsid w:val="0B94510B"/>
    <w:rsid w:val="0BA75363"/>
    <w:rsid w:val="0BAA4622"/>
    <w:rsid w:val="0BBC066F"/>
    <w:rsid w:val="0BBE62DB"/>
    <w:rsid w:val="0BBF3A54"/>
    <w:rsid w:val="0BD6196C"/>
    <w:rsid w:val="0BE53C14"/>
    <w:rsid w:val="0C0C17DE"/>
    <w:rsid w:val="0C234D6D"/>
    <w:rsid w:val="0C3C7816"/>
    <w:rsid w:val="0C3E04AB"/>
    <w:rsid w:val="0C6723ED"/>
    <w:rsid w:val="0C7F1C85"/>
    <w:rsid w:val="0C8F15DE"/>
    <w:rsid w:val="0C91599A"/>
    <w:rsid w:val="0C9D5894"/>
    <w:rsid w:val="0CA27F9C"/>
    <w:rsid w:val="0CB53EDD"/>
    <w:rsid w:val="0CBE7ECD"/>
    <w:rsid w:val="0CC354F7"/>
    <w:rsid w:val="0CD87190"/>
    <w:rsid w:val="0CE76300"/>
    <w:rsid w:val="0CF206DD"/>
    <w:rsid w:val="0D022BD9"/>
    <w:rsid w:val="0D237E3C"/>
    <w:rsid w:val="0D2E55FF"/>
    <w:rsid w:val="0D421E10"/>
    <w:rsid w:val="0D437B86"/>
    <w:rsid w:val="0D4B7CD7"/>
    <w:rsid w:val="0D4D32F4"/>
    <w:rsid w:val="0D6043C0"/>
    <w:rsid w:val="0D8F6B82"/>
    <w:rsid w:val="0DA35843"/>
    <w:rsid w:val="0DAF6335"/>
    <w:rsid w:val="0DB1090D"/>
    <w:rsid w:val="0DB210F0"/>
    <w:rsid w:val="0DBE394D"/>
    <w:rsid w:val="0DF448B0"/>
    <w:rsid w:val="0DF57C46"/>
    <w:rsid w:val="0E19015F"/>
    <w:rsid w:val="0E1F1E60"/>
    <w:rsid w:val="0E282FBA"/>
    <w:rsid w:val="0E2A0D62"/>
    <w:rsid w:val="0E382309"/>
    <w:rsid w:val="0E817C71"/>
    <w:rsid w:val="0E896A1F"/>
    <w:rsid w:val="0E92694D"/>
    <w:rsid w:val="0E941F39"/>
    <w:rsid w:val="0E9A2C5F"/>
    <w:rsid w:val="0EA578E8"/>
    <w:rsid w:val="0EB00795"/>
    <w:rsid w:val="0EB918BC"/>
    <w:rsid w:val="0EBB5936"/>
    <w:rsid w:val="0EBC5205"/>
    <w:rsid w:val="0EC1277D"/>
    <w:rsid w:val="0EC137A0"/>
    <w:rsid w:val="0EDD3323"/>
    <w:rsid w:val="0EE15967"/>
    <w:rsid w:val="0EEE6DF4"/>
    <w:rsid w:val="0EF92AE1"/>
    <w:rsid w:val="0F0D40A8"/>
    <w:rsid w:val="0F1F08D8"/>
    <w:rsid w:val="0F2C3939"/>
    <w:rsid w:val="0F2D3BEA"/>
    <w:rsid w:val="0F335C4E"/>
    <w:rsid w:val="0F345C79"/>
    <w:rsid w:val="0F395589"/>
    <w:rsid w:val="0F465E29"/>
    <w:rsid w:val="0F511294"/>
    <w:rsid w:val="0F536766"/>
    <w:rsid w:val="0F652D08"/>
    <w:rsid w:val="0F6D5EA6"/>
    <w:rsid w:val="0F7F2D16"/>
    <w:rsid w:val="0F7F6D44"/>
    <w:rsid w:val="0F8A1C99"/>
    <w:rsid w:val="0F8D1FD4"/>
    <w:rsid w:val="0F9A3596"/>
    <w:rsid w:val="0F9E6F1C"/>
    <w:rsid w:val="0FAA3278"/>
    <w:rsid w:val="0FAE7E6C"/>
    <w:rsid w:val="0FFE685F"/>
    <w:rsid w:val="10005BDC"/>
    <w:rsid w:val="10374549"/>
    <w:rsid w:val="106C233E"/>
    <w:rsid w:val="107426B3"/>
    <w:rsid w:val="107B0D21"/>
    <w:rsid w:val="107D7754"/>
    <w:rsid w:val="10855009"/>
    <w:rsid w:val="10A8243A"/>
    <w:rsid w:val="10BF36F1"/>
    <w:rsid w:val="10DB1BE1"/>
    <w:rsid w:val="111F2BA3"/>
    <w:rsid w:val="112947CF"/>
    <w:rsid w:val="113140F3"/>
    <w:rsid w:val="11377E81"/>
    <w:rsid w:val="11385896"/>
    <w:rsid w:val="11565AD4"/>
    <w:rsid w:val="116F4256"/>
    <w:rsid w:val="11753EAB"/>
    <w:rsid w:val="117F2F13"/>
    <w:rsid w:val="1182031A"/>
    <w:rsid w:val="11973095"/>
    <w:rsid w:val="11A9214E"/>
    <w:rsid w:val="11AF0F48"/>
    <w:rsid w:val="11C07227"/>
    <w:rsid w:val="120D06EF"/>
    <w:rsid w:val="121D6057"/>
    <w:rsid w:val="12310576"/>
    <w:rsid w:val="123F078F"/>
    <w:rsid w:val="12543403"/>
    <w:rsid w:val="125E7242"/>
    <w:rsid w:val="1274424E"/>
    <w:rsid w:val="12760A6A"/>
    <w:rsid w:val="12941305"/>
    <w:rsid w:val="12A36EEB"/>
    <w:rsid w:val="12A632A3"/>
    <w:rsid w:val="12B425EE"/>
    <w:rsid w:val="12CD5DD5"/>
    <w:rsid w:val="130E1D9D"/>
    <w:rsid w:val="13322374"/>
    <w:rsid w:val="13443827"/>
    <w:rsid w:val="1365726C"/>
    <w:rsid w:val="1373175A"/>
    <w:rsid w:val="13A62B68"/>
    <w:rsid w:val="13B7227E"/>
    <w:rsid w:val="13B737F0"/>
    <w:rsid w:val="13B97D6B"/>
    <w:rsid w:val="13F212AF"/>
    <w:rsid w:val="14137DE0"/>
    <w:rsid w:val="14211151"/>
    <w:rsid w:val="142D6844"/>
    <w:rsid w:val="144A626C"/>
    <w:rsid w:val="144C53E9"/>
    <w:rsid w:val="14555B62"/>
    <w:rsid w:val="147E0785"/>
    <w:rsid w:val="149432F6"/>
    <w:rsid w:val="14D82989"/>
    <w:rsid w:val="14EF569E"/>
    <w:rsid w:val="151135FD"/>
    <w:rsid w:val="15192716"/>
    <w:rsid w:val="1525230D"/>
    <w:rsid w:val="15270101"/>
    <w:rsid w:val="152E3D63"/>
    <w:rsid w:val="15325274"/>
    <w:rsid w:val="153524B6"/>
    <w:rsid w:val="154D0855"/>
    <w:rsid w:val="156E3012"/>
    <w:rsid w:val="157A7966"/>
    <w:rsid w:val="158043D2"/>
    <w:rsid w:val="158723EE"/>
    <w:rsid w:val="159C0289"/>
    <w:rsid w:val="159C7389"/>
    <w:rsid w:val="15A43226"/>
    <w:rsid w:val="15A8749B"/>
    <w:rsid w:val="15AE178D"/>
    <w:rsid w:val="15BD2008"/>
    <w:rsid w:val="15F25A64"/>
    <w:rsid w:val="15FC0602"/>
    <w:rsid w:val="160374F6"/>
    <w:rsid w:val="16102593"/>
    <w:rsid w:val="16117F0B"/>
    <w:rsid w:val="16474E2C"/>
    <w:rsid w:val="16522E25"/>
    <w:rsid w:val="16694D43"/>
    <w:rsid w:val="167A3472"/>
    <w:rsid w:val="16822A40"/>
    <w:rsid w:val="1683075D"/>
    <w:rsid w:val="16855EAF"/>
    <w:rsid w:val="16884C04"/>
    <w:rsid w:val="16911C35"/>
    <w:rsid w:val="169E6ED4"/>
    <w:rsid w:val="16CA7FBB"/>
    <w:rsid w:val="16ED455E"/>
    <w:rsid w:val="16F708E9"/>
    <w:rsid w:val="170B7C83"/>
    <w:rsid w:val="170C7A12"/>
    <w:rsid w:val="171703FC"/>
    <w:rsid w:val="171B742E"/>
    <w:rsid w:val="174F02E5"/>
    <w:rsid w:val="176E3FF8"/>
    <w:rsid w:val="178A73E2"/>
    <w:rsid w:val="178B59D8"/>
    <w:rsid w:val="178F2C2C"/>
    <w:rsid w:val="179E4078"/>
    <w:rsid w:val="17A97A20"/>
    <w:rsid w:val="17B56A1E"/>
    <w:rsid w:val="17C2332B"/>
    <w:rsid w:val="17D46E24"/>
    <w:rsid w:val="17F85C61"/>
    <w:rsid w:val="17F874E0"/>
    <w:rsid w:val="18105BD0"/>
    <w:rsid w:val="184F2D97"/>
    <w:rsid w:val="18550C33"/>
    <w:rsid w:val="185C6715"/>
    <w:rsid w:val="1860639C"/>
    <w:rsid w:val="18834D00"/>
    <w:rsid w:val="18877A2F"/>
    <w:rsid w:val="188806B8"/>
    <w:rsid w:val="18906FC7"/>
    <w:rsid w:val="18995A48"/>
    <w:rsid w:val="18A5506D"/>
    <w:rsid w:val="18AD2875"/>
    <w:rsid w:val="18B06B38"/>
    <w:rsid w:val="18B26813"/>
    <w:rsid w:val="18B376F1"/>
    <w:rsid w:val="18B4580C"/>
    <w:rsid w:val="18CD6619"/>
    <w:rsid w:val="18D64E3D"/>
    <w:rsid w:val="18F96E62"/>
    <w:rsid w:val="19037BC0"/>
    <w:rsid w:val="19140E80"/>
    <w:rsid w:val="19154CC8"/>
    <w:rsid w:val="19181D4A"/>
    <w:rsid w:val="191A3D6E"/>
    <w:rsid w:val="193C6444"/>
    <w:rsid w:val="193E7035"/>
    <w:rsid w:val="19480E19"/>
    <w:rsid w:val="19654508"/>
    <w:rsid w:val="19673411"/>
    <w:rsid w:val="196F6F40"/>
    <w:rsid w:val="1982661C"/>
    <w:rsid w:val="19853233"/>
    <w:rsid w:val="19964043"/>
    <w:rsid w:val="19A14C10"/>
    <w:rsid w:val="19BE1DF9"/>
    <w:rsid w:val="19D60F6E"/>
    <w:rsid w:val="19E16FF9"/>
    <w:rsid w:val="19E957D4"/>
    <w:rsid w:val="19EF6712"/>
    <w:rsid w:val="19F73FC4"/>
    <w:rsid w:val="1A0816E5"/>
    <w:rsid w:val="1A25323B"/>
    <w:rsid w:val="1A430EA1"/>
    <w:rsid w:val="1A4B0D30"/>
    <w:rsid w:val="1A502660"/>
    <w:rsid w:val="1A6F4DF2"/>
    <w:rsid w:val="1A7053FE"/>
    <w:rsid w:val="1A736316"/>
    <w:rsid w:val="1A743D38"/>
    <w:rsid w:val="1A986FD7"/>
    <w:rsid w:val="1AA15BF7"/>
    <w:rsid w:val="1AA229F8"/>
    <w:rsid w:val="1AA42AEB"/>
    <w:rsid w:val="1AB10467"/>
    <w:rsid w:val="1AD95972"/>
    <w:rsid w:val="1ADB081E"/>
    <w:rsid w:val="1AFD15BE"/>
    <w:rsid w:val="1B03071D"/>
    <w:rsid w:val="1B1D041F"/>
    <w:rsid w:val="1B24383D"/>
    <w:rsid w:val="1B4A5416"/>
    <w:rsid w:val="1B5853B6"/>
    <w:rsid w:val="1B5F038B"/>
    <w:rsid w:val="1B65603C"/>
    <w:rsid w:val="1B7531B3"/>
    <w:rsid w:val="1B7E77CB"/>
    <w:rsid w:val="1B895A42"/>
    <w:rsid w:val="1B9A0737"/>
    <w:rsid w:val="1B9C0116"/>
    <w:rsid w:val="1BAD2F1E"/>
    <w:rsid w:val="1BB04318"/>
    <w:rsid w:val="1BD45581"/>
    <w:rsid w:val="1BEC136E"/>
    <w:rsid w:val="1BFF4A08"/>
    <w:rsid w:val="1C0748A2"/>
    <w:rsid w:val="1C0925B8"/>
    <w:rsid w:val="1C0D56AB"/>
    <w:rsid w:val="1C3C1CCB"/>
    <w:rsid w:val="1C454376"/>
    <w:rsid w:val="1C470FBD"/>
    <w:rsid w:val="1C567084"/>
    <w:rsid w:val="1C5C4C95"/>
    <w:rsid w:val="1C647E1B"/>
    <w:rsid w:val="1C813D2B"/>
    <w:rsid w:val="1C896760"/>
    <w:rsid w:val="1C8C429C"/>
    <w:rsid w:val="1CBB2EC0"/>
    <w:rsid w:val="1CEE6E52"/>
    <w:rsid w:val="1CF41EE0"/>
    <w:rsid w:val="1D007588"/>
    <w:rsid w:val="1D0E1D11"/>
    <w:rsid w:val="1D102F75"/>
    <w:rsid w:val="1D215EF8"/>
    <w:rsid w:val="1D241703"/>
    <w:rsid w:val="1D346DDC"/>
    <w:rsid w:val="1D37455E"/>
    <w:rsid w:val="1D481EA3"/>
    <w:rsid w:val="1D5133A9"/>
    <w:rsid w:val="1D6264CA"/>
    <w:rsid w:val="1D674D2B"/>
    <w:rsid w:val="1D6B5CC0"/>
    <w:rsid w:val="1D9966C6"/>
    <w:rsid w:val="1DBF6E54"/>
    <w:rsid w:val="1DE76CB4"/>
    <w:rsid w:val="1E0444E1"/>
    <w:rsid w:val="1E1D3320"/>
    <w:rsid w:val="1E1F7BA9"/>
    <w:rsid w:val="1E525C52"/>
    <w:rsid w:val="1E607B5F"/>
    <w:rsid w:val="1E7C308A"/>
    <w:rsid w:val="1E7F2775"/>
    <w:rsid w:val="1E8F6FCD"/>
    <w:rsid w:val="1EAE65E1"/>
    <w:rsid w:val="1ECE27A8"/>
    <w:rsid w:val="1ED7606D"/>
    <w:rsid w:val="1EF52E08"/>
    <w:rsid w:val="1F0F0242"/>
    <w:rsid w:val="1F1B0C84"/>
    <w:rsid w:val="1F311D18"/>
    <w:rsid w:val="1F3D21ED"/>
    <w:rsid w:val="1F4A4348"/>
    <w:rsid w:val="1F520A54"/>
    <w:rsid w:val="1F5257E9"/>
    <w:rsid w:val="1F626BF9"/>
    <w:rsid w:val="1F7A38AD"/>
    <w:rsid w:val="1F7A71B2"/>
    <w:rsid w:val="1FAD7C5B"/>
    <w:rsid w:val="1FB26C6B"/>
    <w:rsid w:val="1FBA521A"/>
    <w:rsid w:val="1FBB364F"/>
    <w:rsid w:val="1FE223DD"/>
    <w:rsid w:val="1FE734C9"/>
    <w:rsid w:val="201841F3"/>
    <w:rsid w:val="2036386B"/>
    <w:rsid w:val="2048378A"/>
    <w:rsid w:val="204852EA"/>
    <w:rsid w:val="2054496F"/>
    <w:rsid w:val="205A1CCE"/>
    <w:rsid w:val="206A6E50"/>
    <w:rsid w:val="207151C0"/>
    <w:rsid w:val="208618A6"/>
    <w:rsid w:val="2099615D"/>
    <w:rsid w:val="20B7393D"/>
    <w:rsid w:val="20CD1CFF"/>
    <w:rsid w:val="210F6611"/>
    <w:rsid w:val="211550AD"/>
    <w:rsid w:val="211A033D"/>
    <w:rsid w:val="211C5BEF"/>
    <w:rsid w:val="212F1A01"/>
    <w:rsid w:val="214D2E62"/>
    <w:rsid w:val="21516DFE"/>
    <w:rsid w:val="21586C67"/>
    <w:rsid w:val="215F2E6B"/>
    <w:rsid w:val="21680404"/>
    <w:rsid w:val="217A5DD1"/>
    <w:rsid w:val="218136A5"/>
    <w:rsid w:val="218A6F7B"/>
    <w:rsid w:val="219050AB"/>
    <w:rsid w:val="219363C3"/>
    <w:rsid w:val="219632F1"/>
    <w:rsid w:val="21AE4F56"/>
    <w:rsid w:val="21B824BA"/>
    <w:rsid w:val="21C47842"/>
    <w:rsid w:val="21D7650A"/>
    <w:rsid w:val="21DB0438"/>
    <w:rsid w:val="21EE0919"/>
    <w:rsid w:val="21F47AE4"/>
    <w:rsid w:val="21FD5212"/>
    <w:rsid w:val="2231221E"/>
    <w:rsid w:val="2243681F"/>
    <w:rsid w:val="22475582"/>
    <w:rsid w:val="22500A75"/>
    <w:rsid w:val="22584708"/>
    <w:rsid w:val="225A7C70"/>
    <w:rsid w:val="22653AAC"/>
    <w:rsid w:val="226E42A7"/>
    <w:rsid w:val="227C2991"/>
    <w:rsid w:val="228112CA"/>
    <w:rsid w:val="22813057"/>
    <w:rsid w:val="22862E16"/>
    <w:rsid w:val="2297568B"/>
    <w:rsid w:val="229B0FA2"/>
    <w:rsid w:val="22A158A8"/>
    <w:rsid w:val="22B7330C"/>
    <w:rsid w:val="22F74344"/>
    <w:rsid w:val="22F9522F"/>
    <w:rsid w:val="23391DB8"/>
    <w:rsid w:val="23395990"/>
    <w:rsid w:val="234F1772"/>
    <w:rsid w:val="234F1FDA"/>
    <w:rsid w:val="237D723A"/>
    <w:rsid w:val="239970B7"/>
    <w:rsid w:val="23AD285B"/>
    <w:rsid w:val="23D00D0A"/>
    <w:rsid w:val="23D206A3"/>
    <w:rsid w:val="23E40ADD"/>
    <w:rsid w:val="23E75737"/>
    <w:rsid w:val="23FB1887"/>
    <w:rsid w:val="23FF06EE"/>
    <w:rsid w:val="24045225"/>
    <w:rsid w:val="24101D13"/>
    <w:rsid w:val="24125C04"/>
    <w:rsid w:val="24554D10"/>
    <w:rsid w:val="24570ADB"/>
    <w:rsid w:val="24632A90"/>
    <w:rsid w:val="24702856"/>
    <w:rsid w:val="247C6474"/>
    <w:rsid w:val="24957662"/>
    <w:rsid w:val="24971D77"/>
    <w:rsid w:val="24A52C36"/>
    <w:rsid w:val="24AA2336"/>
    <w:rsid w:val="24B36A5D"/>
    <w:rsid w:val="24DB1C9D"/>
    <w:rsid w:val="25023585"/>
    <w:rsid w:val="250D5B4F"/>
    <w:rsid w:val="250D769C"/>
    <w:rsid w:val="25243B51"/>
    <w:rsid w:val="253153C1"/>
    <w:rsid w:val="253E0E86"/>
    <w:rsid w:val="258F2D42"/>
    <w:rsid w:val="25A46F1D"/>
    <w:rsid w:val="25AD54C7"/>
    <w:rsid w:val="25C60F8E"/>
    <w:rsid w:val="25D14C6A"/>
    <w:rsid w:val="25DC2FDF"/>
    <w:rsid w:val="260C0AB9"/>
    <w:rsid w:val="261361A3"/>
    <w:rsid w:val="262131CB"/>
    <w:rsid w:val="26242B24"/>
    <w:rsid w:val="26633726"/>
    <w:rsid w:val="26864D68"/>
    <w:rsid w:val="268667B3"/>
    <w:rsid w:val="268C1E1D"/>
    <w:rsid w:val="26A03645"/>
    <w:rsid w:val="26B5638C"/>
    <w:rsid w:val="26B75EAC"/>
    <w:rsid w:val="26D41407"/>
    <w:rsid w:val="26D4492E"/>
    <w:rsid w:val="26D45246"/>
    <w:rsid w:val="26D63C12"/>
    <w:rsid w:val="26FB7A4A"/>
    <w:rsid w:val="26FD5084"/>
    <w:rsid w:val="27086399"/>
    <w:rsid w:val="27147853"/>
    <w:rsid w:val="274677C0"/>
    <w:rsid w:val="274A2C3F"/>
    <w:rsid w:val="275A6881"/>
    <w:rsid w:val="275C4E56"/>
    <w:rsid w:val="27AE5E26"/>
    <w:rsid w:val="27B17BB4"/>
    <w:rsid w:val="27B85569"/>
    <w:rsid w:val="27D8316E"/>
    <w:rsid w:val="280E4105"/>
    <w:rsid w:val="280E78B6"/>
    <w:rsid w:val="28121D2F"/>
    <w:rsid w:val="281F730D"/>
    <w:rsid w:val="284D48CB"/>
    <w:rsid w:val="286337EB"/>
    <w:rsid w:val="286A0055"/>
    <w:rsid w:val="288B0AD3"/>
    <w:rsid w:val="289A5E77"/>
    <w:rsid w:val="289C48B0"/>
    <w:rsid w:val="28AF506C"/>
    <w:rsid w:val="28CD3A9A"/>
    <w:rsid w:val="28D974AA"/>
    <w:rsid w:val="28E40964"/>
    <w:rsid w:val="28EF6BED"/>
    <w:rsid w:val="290328AE"/>
    <w:rsid w:val="290B3B64"/>
    <w:rsid w:val="291A0F9E"/>
    <w:rsid w:val="29323079"/>
    <w:rsid w:val="293E4FD5"/>
    <w:rsid w:val="29432476"/>
    <w:rsid w:val="29522A99"/>
    <w:rsid w:val="29574A05"/>
    <w:rsid w:val="299B5625"/>
    <w:rsid w:val="29A30649"/>
    <w:rsid w:val="29AA129A"/>
    <w:rsid w:val="29C139CE"/>
    <w:rsid w:val="29CE4F2D"/>
    <w:rsid w:val="29D64CE0"/>
    <w:rsid w:val="29E03A6D"/>
    <w:rsid w:val="29E76BC6"/>
    <w:rsid w:val="29FA2B17"/>
    <w:rsid w:val="2A0C3423"/>
    <w:rsid w:val="2A2512FA"/>
    <w:rsid w:val="2A3B0ABE"/>
    <w:rsid w:val="2A412D9C"/>
    <w:rsid w:val="2A4466CC"/>
    <w:rsid w:val="2A4E1A35"/>
    <w:rsid w:val="2A52680E"/>
    <w:rsid w:val="2A735575"/>
    <w:rsid w:val="2A866D93"/>
    <w:rsid w:val="2A8D6158"/>
    <w:rsid w:val="2AAF2A04"/>
    <w:rsid w:val="2AB926DC"/>
    <w:rsid w:val="2ACB7994"/>
    <w:rsid w:val="2ACF0D3F"/>
    <w:rsid w:val="2AEF05CD"/>
    <w:rsid w:val="2AFE28D1"/>
    <w:rsid w:val="2B057238"/>
    <w:rsid w:val="2B26354B"/>
    <w:rsid w:val="2B2E544C"/>
    <w:rsid w:val="2B311956"/>
    <w:rsid w:val="2B4820C3"/>
    <w:rsid w:val="2B54318F"/>
    <w:rsid w:val="2B5E5DBD"/>
    <w:rsid w:val="2B61442D"/>
    <w:rsid w:val="2B916C34"/>
    <w:rsid w:val="2B980975"/>
    <w:rsid w:val="2BB50C74"/>
    <w:rsid w:val="2BBA2014"/>
    <w:rsid w:val="2BBC0FEB"/>
    <w:rsid w:val="2BBD43D2"/>
    <w:rsid w:val="2BC11C26"/>
    <w:rsid w:val="2BCB0CDC"/>
    <w:rsid w:val="2BCD14CC"/>
    <w:rsid w:val="2BD17DDF"/>
    <w:rsid w:val="2BE646A6"/>
    <w:rsid w:val="2BF16CE8"/>
    <w:rsid w:val="2BF756A4"/>
    <w:rsid w:val="2BFA4049"/>
    <w:rsid w:val="2BFD60D7"/>
    <w:rsid w:val="2C0202B1"/>
    <w:rsid w:val="2C406454"/>
    <w:rsid w:val="2C5343E1"/>
    <w:rsid w:val="2C5C38E7"/>
    <w:rsid w:val="2C5D4B71"/>
    <w:rsid w:val="2C8A2F07"/>
    <w:rsid w:val="2CA12B9A"/>
    <w:rsid w:val="2CB5365B"/>
    <w:rsid w:val="2CBD6159"/>
    <w:rsid w:val="2CD374A3"/>
    <w:rsid w:val="2CFA0F34"/>
    <w:rsid w:val="2D2D338B"/>
    <w:rsid w:val="2D3703CA"/>
    <w:rsid w:val="2D396ED7"/>
    <w:rsid w:val="2D5E1F95"/>
    <w:rsid w:val="2D616B8B"/>
    <w:rsid w:val="2D8D4C8D"/>
    <w:rsid w:val="2D9B4BCD"/>
    <w:rsid w:val="2DA2089A"/>
    <w:rsid w:val="2DAA465E"/>
    <w:rsid w:val="2DAC6C55"/>
    <w:rsid w:val="2DAD6FAB"/>
    <w:rsid w:val="2DBF6861"/>
    <w:rsid w:val="2DE65121"/>
    <w:rsid w:val="2DFC1668"/>
    <w:rsid w:val="2E1052CA"/>
    <w:rsid w:val="2E215DBB"/>
    <w:rsid w:val="2E2E50D0"/>
    <w:rsid w:val="2E3F0D5A"/>
    <w:rsid w:val="2E400437"/>
    <w:rsid w:val="2E475AE6"/>
    <w:rsid w:val="2E595AC1"/>
    <w:rsid w:val="2E596B55"/>
    <w:rsid w:val="2E5D5BEF"/>
    <w:rsid w:val="2E7E217A"/>
    <w:rsid w:val="2E804182"/>
    <w:rsid w:val="2E870879"/>
    <w:rsid w:val="2E8D6223"/>
    <w:rsid w:val="2E93050B"/>
    <w:rsid w:val="2E9B0665"/>
    <w:rsid w:val="2EB9275D"/>
    <w:rsid w:val="2EC64B65"/>
    <w:rsid w:val="2ED207B9"/>
    <w:rsid w:val="2ED7154F"/>
    <w:rsid w:val="2EE33E9A"/>
    <w:rsid w:val="2EF9297B"/>
    <w:rsid w:val="2F233AE0"/>
    <w:rsid w:val="2F425C49"/>
    <w:rsid w:val="2F4D27DF"/>
    <w:rsid w:val="2F4F6937"/>
    <w:rsid w:val="2F5C2BAB"/>
    <w:rsid w:val="2F6519C9"/>
    <w:rsid w:val="2F7C5232"/>
    <w:rsid w:val="2FA80406"/>
    <w:rsid w:val="2FB56DAE"/>
    <w:rsid w:val="2FDB3E92"/>
    <w:rsid w:val="2FF80450"/>
    <w:rsid w:val="30083A9E"/>
    <w:rsid w:val="30355C4B"/>
    <w:rsid w:val="3039154B"/>
    <w:rsid w:val="3046659A"/>
    <w:rsid w:val="3049478D"/>
    <w:rsid w:val="30662804"/>
    <w:rsid w:val="30663A3E"/>
    <w:rsid w:val="307355BD"/>
    <w:rsid w:val="307D3721"/>
    <w:rsid w:val="307F5D69"/>
    <w:rsid w:val="30886343"/>
    <w:rsid w:val="308A230C"/>
    <w:rsid w:val="30935FFF"/>
    <w:rsid w:val="30D82810"/>
    <w:rsid w:val="30E146B6"/>
    <w:rsid w:val="30F83408"/>
    <w:rsid w:val="30F87193"/>
    <w:rsid w:val="31137B76"/>
    <w:rsid w:val="312A6C42"/>
    <w:rsid w:val="313C743E"/>
    <w:rsid w:val="31682DDE"/>
    <w:rsid w:val="31AB0609"/>
    <w:rsid w:val="31B34155"/>
    <w:rsid w:val="31BA529E"/>
    <w:rsid w:val="31D12576"/>
    <w:rsid w:val="31E01A21"/>
    <w:rsid w:val="31F27B0B"/>
    <w:rsid w:val="31F8461D"/>
    <w:rsid w:val="322912AE"/>
    <w:rsid w:val="32513178"/>
    <w:rsid w:val="325D1B6D"/>
    <w:rsid w:val="32970A6B"/>
    <w:rsid w:val="32992134"/>
    <w:rsid w:val="329B5530"/>
    <w:rsid w:val="32C0462A"/>
    <w:rsid w:val="32D77990"/>
    <w:rsid w:val="32DE75A7"/>
    <w:rsid w:val="32E83A34"/>
    <w:rsid w:val="330B63ED"/>
    <w:rsid w:val="33157E5C"/>
    <w:rsid w:val="334B6A31"/>
    <w:rsid w:val="33585B04"/>
    <w:rsid w:val="338A1F14"/>
    <w:rsid w:val="33933A16"/>
    <w:rsid w:val="33DD4C90"/>
    <w:rsid w:val="33EA611F"/>
    <w:rsid w:val="33EC0EC8"/>
    <w:rsid w:val="33F64D5C"/>
    <w:rsid w:val="341855B5"/>
    <w:rsid w:val="342A6164"/>
    <w:rsid w:val="343F6228"/>
    <w:rsid w:val="34523A45"/>
    <w:rsid w:val="34584E37"/>
    <w:rsid w:val="345C205C"/>
    <w:rsid w:val="34612E93"/>
    <w:rsid w:val="3476312F"/>
    <w:rsid w:val="347B1F9D"/>
    <w:rsid w:val="3481037D"/>
    <w:rsid w:val="3494520C"/>
    <w:rsid w:val="34B23212"/>
    <w:rsid w:val="34CB0253"/>
    <w:rsid w:val="34EC2689"/>
    <w:rsid w:val="350F0631"/>
    <w:rsid w:val="35195EBE"/>
    <w:rsid w:val="35213A9F"/>
    <w:rsid w:val="35385228"/>
    <w:rsid w:val="353F4B06"/>
    <w:rsid w:val="35436C76"/>
    <w:rsid w:val="35465304"/>
    <w:rsid w:val="355D7B7C"/>
    <w:rsid w:val="356317F9"/>
    <w:rsid w:val="3569500B"/>
    <w:rsid w:val="356B7780"/>
    <w:rsid w:val="3591095E"/>
    <w:rsid w:val="359608D2"/>
    <w:rsid w:val="359914D7"/>
    <w:rsid w:val="35BF7DC5"/>
    <w:rsid w:val="35C4404D"/>
    <w:rsid w:val="35C6532C"/>
    <w:rsid w:val="35D77673"/>
    <w:rsid w:val="35DF3B12"/>
    <w:rsid w:val="35FE34F3"/>
    <w:rsid w:val="36277E4B"/>
    <w:rsid w:val="362D6223"/>
    <w:rsid w:val="3644357D"/>
    <w:rsid w:val="36512D49"/>
    <w:rsid w:val="365E2195"/>
    <w:rsid w:val="36637C2C"/>
    <w:rsid w:val="36663FB2"/>
    <w:rsid w:val="3673753E"/>
    <w:rsid w:val="368608FD"/>
    <w:rsid w:val="36871656"/>
    <w:rsid w:val="36AA43C7"/>
    <w:rsid w:val="36D651F2"/>
    <w:rsid w:val="36E0540F"/>
    <w:rsid w:val="36EA3A2D"/>
    <w:rsid w:val="36FD1EAE"/>
    <w:rsid w:val="36FE14F9"/>
    <w:rsid w:val="373A2498"/>
    <w:rsid w:val="375436D4"/>
    <w:rsid w:val="376C6255"/>
    <w:rsid w:val="37795515"/>
    <w:rsid w:val="3790422C"/>
    <w:rsid w:val="3796028C"/>
    <w:rsid w:val="37A56762"/>
    <w:rsid w:val="37BE2882"/>
    <w:rsid w:val="37DB345B"/>
    <w:rsid w:val="37DB7B44"/>
    <w:rsid w:val="37E101A6"/>
    <w:rsid w:val="37E301BC"/>
    <w:rsid w:val="37E60BC4"/>
    <w:rsid w:val="37F863E1"/>
    <w:rsid w:val="37FD4C3C"/>
    <w:rsid w:val="38031D54"/>
    <w:rsid w:val="381B57EA"/>
    <w:rsid w:val="381B7316"/>
    <w:rsid w:val="38541E5B"/>
    <w:rsid w:val="38561263"/>
    <w:rsid w:val="385B49FE"/>
    <w:rsid w:val="38721C3A"/>
    <w:rsid w:val="3881211D"/>
    <w:rsid w:val="3882590F"/>
    <w:rsid w:val="38995F6A"/>
    <w:rsid w:val="389A0AE7"/>
    <w:rsid w:val="38AA16D2"/>
    <w:rsid w:val="38C05556"/>
    <w:rsid w:val="38D01207"/>
    <w:rsid w:val="38E24F69"/>
    <w:rsid w:val="38F47AC5"/>
    <w:rsid w:val="38F63D6D"/>
    <w:rsid w:val="390A0694"/>
    <w:rsid w:val="390E6DCB"/>
    <w:rsid w:val="3916344C"/>
    <w:rsid w:val="39185AEC"/>
    <w:rsid w:val="393E5613"/>
    <w:rsid w:val="395B2063"/>
    <w:rsid w:val="398609B6"/>
    <w:rsid w:val="39967EDC"/>
    <w:rsid w:val="39D47A95"/>
    <w:rsid w:val="39E46C5F"/>
    <w:rsid w:val="39F769A8"/>
    <w:rsid w:val="39FB7482"/>
    <w:rsid w:val="3A0C5390"/>
    <w:rsid w:val="3A4533FD"/>
    <w:rsid w:val="3A5D2085"/>
    <w:rsid w:val="3A630A3E"/>
    <w:rsid w:val="3A6B4B0E"/>
    <w:rsid w:val="3A771C78"/>
    <w:rsid w:val="3A80278B"/>
    <w:rsid w:val="3AA3240D"/>
    <w:rsid w:val="3AAD1AA6"/>
    <w:rsid w:val="3AB10CB2"/>
    <w:rsid w:val="3AB151EC"/>
    <w:rsid w:val="3AB964E0"/>
    <w:rsid w:val="3ACB6B3B"/>
    <w:rsid w:val="3AE319EB"/>
    <w:rsid w:val="3AEC3B77"/>
    <w:rsid w:val="3AF022A8"/>
    <w:rsid w:val="3AF95E8F"/>
    <w:rsid w:val="3B02239A"/>
    <w:rsid w:val="3B0562E5"/>
    <w:rsid w:val="3B087702"/>
    <w:rsid w:val="3B095D6C"/>
    <w:rsid w:val="3B465A1B"/>
    <w:rsid w:val="3B465E48"/>
    <w:rsid w:val="3B55449B"/>
    <w:rsid w:val="3B6710B7"/>
    <w:rsid w:val="3B6B3642"/>
    <w:rsid w:val="3B700AF7"/>
    <w:rsid w:val="3B720772"/>
    <w:rsid w:val="3B7D2B27"/>
    <w:rsid w:val="3B830695"/>
    <w:rsid w:val="3B9C67FA"/>
    <w:rsid w:val="3BB34E31"/>
    <w:rsid w:val="3BC503A2"/>
    <w:rsid w:val="3BCF2C11"/>
    <w:rsid w:val="3BDC413C"/>
    <w:rsid w:val="3BF664DF"/>
    <w:rsid w:val="3BF74BC2"/>
    <w:rsid w:val="3BFA134A"/>
    <w:rsid w:val="3C0268F1"/>
    <w:rsid w:val="3C0E306F"/>
    <w:rsid w:val="3C2C7F42"/>
    <w:rsid w:val="3C3732EF"/>
    <w:rsid w:val="3C3F65EF"/>
    <w:rsid w:val="3C475401"/>
    <w:rsid w:val="3C4930F4"/>
    <w:rsid w:val="3C5E14E0"/>
    <w:rsid w:val="3C7D7E7A"/>
    <w:rsid w:val="3C906F49"/>
    <w:rsid w:val="3C9139F8"/>
    <w:rsid w:val="3CA87F65"/>
    <w:rsid w:val="3CBD1114"/>
    <w:rsid w:val="3CCB0773"/>
    <w:rsid w:val="3CCE1C12"/>
    <w:rsid w:val="3CE20615"/>
    <w:rsid w:val="3D0569A1"/>
    <w:rsid w:val="3D172EAB"/>
    <w:rsid w:val="3D2D38F4"/>
    <w:rsid w:val="3D346D52"/>
    <w:rsid w:val="3D391D01"/>
    <w:rsid w:val="3D4A58E7"/>
    <w:rsid w:val="3D5F1617"/>
    <w:rsid w:val="3D803470"/>
    <w:rsid w:val="3D90331A"/>
    <w:rsid w:val="3D910591"/>
    <w:rsid w:val="3D9224AC"/>
    <w:rsid w:val="3D9B49ED"/>
    <w:rsid w:val="3D9E1B59"/>
    <w:rsid w:val="3D9F4F87"/>
    <w:rsid w:val="3DA62B4F"/>
    <w:rsid w:val="3DE02ACD"/>
    <w:rsid w:val="3DEF4DB8"/>
    <w:rsid w:val="3DF12C1A"/>
    <w:rsid w:val="3DF608A3"/>
    <w:rsid w:val="3E0B442C"/>
    <w:rsid w:val="3E0C3990"/>
    <w:rsid w:val="3E1167AA"/>
    <w:rsid w:val="3E2D2B95"/>
    <w:rsid w:val="3E3A6E87"/>
    <w:rsid w:val="3E3F3414"/>
    <w:rsid w:val="3E3F4FFD"/>
    <w:rsid w:val="3E500864"/>
    <w:rsid w:val="3E621DB3"/>
    <w:rsid w:val="3E783DE8"/>
    <w:rsid w:val="3EA50683"/>
    <w:rsid w:val="3EB73345"/>
    <w:rsid w:val="3EB96ED2"/>
    <w:rsid w:val="3EC83590"/>
    <w:rsid w:val="3EEA13B8"/>
    <w:rsid w:val="3EF937B3"/>
    <w:rsid w:val="3F080308"/>
    <w:rsid w:val="3F2450C4"/>
    <w:rsid w:val="3F4F7B9A"/>
    <w:rsid w:val="3F770124"/>
    <w:rsid w:val="3FA042C7"/>
    <w:rsid w:val="3FA24575"/>
    <w:rsid w:val="3FC51191"/>
    <w:rsid w:val="3FCD4012"/>
    <w:rsid w:val="3FD1185D"/>
    <w:rsid w:val="3FD825B2"/>
    <w:rsid w:val="3FE90911"/>
    <w:rsid w:val="3FE92EFA"/>
    <w:rsid w:val="3FEA5BC4"/>
    <w:rsid w:val="3FF15EAB"/>
    <w:rsid w:val="40072532"/>
    <w:rsid w:val="400F7E7B"/>
    <w:rsid w:val="401B4A20"/>
    <w:rsid w:val="40202C7E"/>
    <w:rsid w:val="404C75E2"/>
    <w:rsid w:val="406A0CA9"/>
    <w:rsid w:val="40792BF1"/>
    <w:rsid w:val="40923D5F"/>
    <w:rsid w:val="40B12428"/>
    <w:rsid w:val="40BA1A38"/>
    <w:rsid w:val="40BC4DED"/>
    <w:rsid w:val="40C91486"/>
    <w:rsid w:val="40E372DD"/>
    <w:rsid w:val="40EC5C8B"/>
    <w:rsid w:val="40F3290C"/>
    <w:rsid w:val="41065BC3"/>
    <w:rsid w:val="41113842"/>
    <w:rsid w:val="41307547"/>
    <w:rsid w:val="41571CA4"/>
    <w:rsid w:val="418A423A"/>
    <w:rsid w:val="418D26F6"/>
    <w:rsid w:val="418E3F29"/>
    <w:rsid w:val="418F1C33"/>
    <w:rsid w:val="41A61B80"/>
    <w:rsid w:val="41C27B61"/>
    <w:rsid w:val="41D13AB5"/>
    <w:rsid w:val="41DB08B9"/>
    <w:rsid w:val="41F41168"/>
    <w:rsid w:val="42024B05"/>
    <w:rsid w:val="4258787F"/>
    <w:rsid w:val="426E434F"/>
    <w:rsid w:val="426F6004"/>
    <w:rsid w:val="428F3EDA"/>
    <w:rsid w:val="42A663EA"/>
    <w:rsid w:val="42A85190"/>
    <w:rsid w:val="43154F07"/>
    <w:rsid w:val="435A5455"/>
    <w:rsid w:val="43642F6D"/>
    <w:rsid w:val="436F0020"/>
    <w:rsid w:val="43A85DA0"/>
    <w:rsid w:val="43AF7F93"/>
    <w:rsid w:val="43C85D98"/>
    <w:rsid w:val="43D81A24"/>
    <w:rsid w:val="43DA61CB"/>
    <w:rsid w:val="44112EE8"/>
    <w:rsid w:val="442F522A"/>
    <w:rsid w:val="445053DF"/>
    <w:rsid w:val="448125B3"/>
    <w:rsid w:val="44872802"/>
    <w:rsid w:val="44DD0910"/>
    <w:rsid w:val="44E073EB"/>
    <w:rsid w:val="44E1517F"/>
    <w:rsid w:val="44FC3800"/>
    <w:rsid w:val="45266584"/>
    <w:rsid w:val="4531111F"/>
    <w:rsid w:val="45436F46"/>
    <w:rsid w:val="45531782"/>
    <w:rsid w:val="458F27B3"/>
    <w:rsid w:val="45926D5B"/>
    <w:rsid w:val="45C00E7A"/>
    <w:rsid w:val="45D00FB5"/>
    <w:rsid w:val="45DA188A"/>
    <w:rsid w:val="45E05D80"/>
    <w:rsid w:val="45E10C3B"/>
    <w:rsid w:val="46185C13"/>
    <w:rsid w:val="462B7086"/>
    <w:rsid w:val="462C215C"/>
    <w:rsid w:val="46446650"/>
    <w:rsid w:val="465949D7"/>
    <w:rsid w:val="46686203"/>
    <w:rsid w:val="467341C4"/>
    <w:rsid w:val="467D7EC1"/>
    <w:rsid w:val="46855231"/>
    <w:rsid w:val="4686341A"/>
    <w:rsid w:val="46941344"/>
    <w:rsid w:val="46B061EA"/>
    <w:rsid w:val="46CE7385"/>
    <w:rsid w:val="46DF4075"/>
    <w:rsid w:val="46E706C6"/>
    <w:rsid w:val="46F852AB"/>
    <w:rsid w:val="46FE07CE"/>
    <w:rsid w:val="470751B1"/>
    <w:rsid w:val="47372D5A"/>
    <w:rsid w:val="47447390"/>
    <w:rsid w:val="476750EF"/>
    <w:rsid w:val="47687087"/>
    <w:rsid w:val="476E5B6B"/>
    <w:rsid w:val="476E7C83"/>
    <w:rsid w:val="47917B1E"/>
    <w:rsid w:val="47951627"/>
    <w:rsid w:val="47A67142"/>
    <w:rsid w:val="47B126F5"/>
    <w:rsid w:val="47BD7FAC"/>
    <w:rsid w:val="47D46C3E"/>
    <w:rsid w:val="47DD6123"/>
    <w:rsid w:val="47E23DE8"/>
    <w:rsid w:val="47F06532"/>
    <w:rsid w:val="48482CD6"/>
    <w:rsid w:val="485430FE"/>
    <w:rsid w:val="488822CF"/>
    <w:rsid w:val="48892891"/>
    <w:rsid w:val="48926797"/>
    <w:rsid w:val="48A00008"/>
    <w:rsid w:val="48A9662A"/>
    <w:rsid w:val="48AC0B43"/>
    <w:rsid w:val="48CD6E8B"/>
    <w:rsid w:val="48D70408"/>
    <w:rsid w:val="48FD774D"/>
    <w:rsid w:val="49033D09"/>
    <w:rsid w:val="49150829"/>
    <w:rsid w:val="49205202"/>
    <w:rsid w:val="49236002"/>
    <w:rsid w:val="49242810"/>
    <w:rsid w:val="492C7356"/>
    <w:rsid w:val="493D49F2"/>
    <w:rsid w:val="49412293"/>
    <w:rsid w:val="49476BBC"/>
    <w:rsid w:val="49643F90"/>
    <w:rsid w:val="496853D3"/>
    <w:rsid w:val="497B51F4"/>
    <w:rsid w:val="49820690"/>
    <w:rsid w:val="49851E89"/>
    <w:rsid w:val="498B7D4A"/>
    <w:rsid w:val="49A02D1A"/>
    <w:rsid w:val="49E74694"/>
    <w:rsid w:val="49F43B25"/>
    <w:rsid w:val="4A360239"/>
    <w:rsid w:val="4A3C3F47"/>
    <w:rsid w:val="4A410FA0"/>
    <w:rsid w:val="4A4B284A"/>
    <w:rsid w:val="4A4C2D58"/>
    <w:rsid w:val="4A522668"/>
    <w:rsid w:val="4A5A2393"/>
    <w:rsid w:val="4A7624D5"/>
    <w:rsid w:val="4AA97E9D"/>
    <w:rsid w:val="4AAB7B7C"/>
    <w:rsid w:val="4ABD111A"/>
    <w:rsid w:val="4ADA3EDD"/>
    <w:rsid w:val="4ADB52F4"/>
    <w:rsid w:val="4AE110A8"/>
    <w:rsid w:val="4AE12E4B"/>
    <w:rsid w:val="4B0213AE"/>
    <w:rsid w:val="4B100607"/>
    <w:rsid w:val="4B1367B9"/>
    <w:rsid w:val="4B18131A"/>
    <w:rsid w:val="4B22332E"/>
    <w:rsid w:val="4B2F2017"/>
    <w:rsid w:val="4B2F2E38"/>
    <w:rsid w:val="4B3A127D"/>
    <w:rsid w:val="4B3D1C65"/>
    <w:rsid w:val="4B530871"/>
    <w:rsid w:val="4B676629"/>
    <w:rsid w:val="4B9948D5"/>
    <w:rsid w:val="4B9D07C5"/>
    <w:rsid w:val="4BA0254D"/>
    <w:rsid w:val="4BAE079D"/>
    <w:rsid w:val="4BB51442"/>
    <w:rsid w:val="4BB94D15"/>
    <w:rsid w:val="4BC47EAA"/>
    <w:rsid w:val="4BD0153E"/>
    <w:rsid w:val="4BD82CB5"/>
    <w:rsid w:val="4BDC6EA2"/>
    <w:rsid w:val="4BE53844"/>
    <w:rsid w:val="4BED060C"/>
    <w:rsid w:val="4BF052E6"/>
    <w:rsid w:val="4C0642B5"/>
    <w:rsid w:val="4C100824"/>
    <w:rsid w:val="4C1B3FA3"/>
    <w:rsid w:val="4C4606F0"/>
    <w:rsid w:val="4C4E3693"/>
    <w:rsid w:val="4C5013A4"/>
    <w:rsid w:val="4C5221C7"/>
    <w:rsid w:val="4C567BB7"/>
    <w:rsid w:val="4C892165"/>
    <w:rsid w:val="4C9C001C"/>
    <w:rsid w:val="4C9F3CB4"/>
    <w:rsid w:val="4CA228B3"/>
    <w:rsid w:val="4CA6430E"/>
    <w:rsid w:val="4CB513E3"/>
    <w:rsid w:val="4CC40C50"/>
    <w:rsid w:val="4CD21ECE"/>
    <w:rsid w:val="4CD8697F"/>
    <w:rsid w:val="4CD93DDA"/>
    <w:rsid w:val="4CDD4E36"/>
    <w:rsid w:val="4CE018CA"/>
    <w:rsid w:val="4CED1341"/>
    <w:rsid w:val="4CEE40DC"/>
    <w:rsid w:val="4CF5270B"/>
    <w:rsid w:val="4CFA08C6"/>
    <w:rsid w:val="4D006F52"/>
    <w:rsid w:val="4D0560BA"/>
    <w:rsid w:val="4D077EEE"/>
    <w:rsid w:val="4D16194B"/>
    <w:rsid w:val="4D2D3A8E"/>
    <w:rsid w:val="4D4960B4"/>
    <w:rsid w:val="4D527C00"/>
    <w:rsid w:val="4D62238B"/>
    <w:rsid w:val="4D6C67CA"/>
    <w:rsid w:val="4D8C1D24"/>
    <w:rsid w:val="4D935CAB"/>
    <w:rsid w:val="4DA9611B"/>
    <w:rsid w:val="4DAE26B7"/>
    <w:rsid w:val="4DAF2C66"/>
    <w:rsid w:val="4DEA5DE8"/>
    <w:rsid w:val="4DED7908"/>
    <w:rsid w:val="4E010799"/>
    <w:rsid w:val="4E2A0D48"/>
    <w:rsid w:val="4E3122DC"/>
    <w:rsid w:val="4E3551EC"/>
    <w:rsid w:val="4E376E11"/>
    <w:rsid w:val="4E5453B6"/>
    <w:rsid w:val="4E66362C"/>
    <w:rsid w:val="4E6D5500"/>
    <w:rsid w:val="4E7A1BCB"/>
    <w:rsid w:val="4E843AE4"/>
    <w:rsid w:val="4E847799"/>
    <w:rsid w:val="4E915D64"/>
    <w:rsid w:val="4E9A420C"/>
    <w:rsid w:val="4EB44455"/>
    <w:rsid w:val="4ED672A9"/>
    <w:rsid w:val="4EFA3556"/>
    <w:rsid w:val="4EFA7A91"/>
    <w:rsid w:val="4F02593B"/>
    <w:rsid w:val="4F1D1E8D"/>
    <w:rsid w:val="4F200137"/>
    <w:rsid w:val="4F2007EB"/>
    <w:rsid w:val="4F353E03"/>
    <w:rsid w:val="4F4641B9"/>
    <w:rsid w:val="4F5B34D8"/>
    <w:rsid w:val="4F5F7404"/>
    <w:rsid w:val="4F7023EF"/>
    <w:rsid w:val="4F731838"/>
    <w:rsid w:val="4F7C3647"/>
    <w:rsid w:val="4F883637"/>
    <w:rsid w:val="4FA640D0"/>
    <w:rsid w:val="4FBA3488"/>
    <w:rsid w:val="4FE13732"/>
    <w:rsid w:val="4FE90DD8"/>
    <w:rsid w:val="500733A6"/>
    <w:rsid w:val="503A26D5"/>
    <w:rsid w:val="505524BA"/>
    <w:rsid w:val="506B5424"/>
    <w:rsid w:val="50761526"/>
    <w:rsid w:val="507874FD"/>
    <w:rsid w:val="507F331E"/>
    <w:rsid w:val="50901993"/>
    <w:rsid w:val="50906BF4"/>
    <w:rsid w:val="509513C3"/>
    <w:rsid w:val="509A32DA"/>
    <w:rsid w:val="509F5B81"/>
    <w:rsid w:val="50A03D62"/>
    <w:rsid w:val="50AA4B1E"/>
    <w:rsid w:val="50B90C9F"/>
    <w:rsid w:val="50C64527"/>
    <w:rsid w:val="50DA1E28"/>
    <w:rsid w:val="50F804BC"/>
    <w:rsid w:val="510E2481"/>
    <w:rsid w:val="511E3952"/>
    <w:rsid w:val="514567A3"/>
    <w:rsid w:val="515250C4"/>
    <w:rsid w:val="51663632"/>
    <w:rsid w:val="516C62E7"/>
    <w:rsid w:val="51761B19"/>
    <w:rsid w:val="518A2221"/>
    <w:rsid w:val="518B7B71"/>
    <w:rsid w:val="51A00E01"/>
    <w:rsid w:val="51AB3F8B"/>
    <w:rsid w:val="51B60927"/>
    <w:rsid w:val="51CE7169"/>
    <w:rsid w:val="51D4764F"/>
    <w:rsid w:val="51DA600B"/>
    <w:rsid w:val="51DB0673"/>
    <w:rsid w:val="51EF54FA"/>
    <w:rsid w:val="51F27A0F"/>
    <w:rsid w:val="52015DBC"/>
    <w:rsid w:val="520E5305"/>
    <w:rsid w:val="52211DCE"/>
    <w:rsid w:val="52351D97"/>
    <w:rsid w:val="52464DFE"/>
    <w:rsid w:val="5254124D"/>
    <w:rsid w:val="52653371"/>
    <w:rsid w:val="526B105B"/>
    <w:rsid w:val="5271198B"/>
    <w:rsid w:val="52B56290"/>
    <w:rsid w:val="52B95C52"/>
    <w:rsid w:val="52C96388"/>
    <w:rsid w:val="52CF00DC"/>
    <w:rsid w:val="52E77118"/>
    <w:rsid w:val="52F628E6"/>
    <w:rsid w:val="52FA40FB"/>
    <w:rsid w:val="530A3C30"/>
    <w:rsid w:val="53191747"/>
    <w:rsid w:val="532451AE"/>
    <w:rsid w:val="533F10AA"/>
    <w:rsid w:val="535863A3"/>
    <w:rsid w:val="537053BE"/>
    <w:rsid w:val="537A38A1"/>
    <w:rsid w:val="53BC6124"/>
    <w:rsid w:val="53BE34F2"/>
    <w:rsid w:val="53C6132F"/>
    <w:rsid w:val="53CA21E0"/>
    <w:rsid w:val="53DA327B"/>
    <w:rsid w:val="53E246FA"/>
    <w:rsid w:val="540B1D9A"/>
    <w:rsid w:val="54251F34"/>
    <w:rsid w:val="54290385"/>
    <w:rsid w:val="542B222F"/>
    <w:rsid w:val="54404CC8"/>
    <w:rsid w:val="545C3D5C"/>
    <w:rsid w:val="54652B19"/>
    <w:rsid w:val="54A73D41"/>
    <w:rsid w:val="54B47744"/>
    <w:rsid w:val="54BA5C89"/>
    <w:rsid w:val="54C7579D"/>
    <w:rsid w:val="54D427E0"/>
    <w:rsid w:val="54F75648"/>
    <w:rsid w:val="54FB0173"/>
    <w:rsid w:val="55000F24"/>
    <w:rsid w:val="551170B5"/>
    <w:rsid w:val="552E5AE4"/>
    <w:rsid w:val="553275A2"/>
    <w:rsid w:val="553752B4"/>
    <w:rsid w:val="5547764B"/>
    <w:rsid w:val="555C3880"/>
    <w:rsid w:val="556F6D04"/>
    <w:rsid w:val="55772E79"/>
    <w:rsid w:val="559B117B"/>
    <w:rsid w:val="55AA7B0D"/>
    <w:rsid w:val="55C506BA"/>
    <w:rsid w:val="55DA7B44"/>
    <w:rsid w:val="55DE548F"/>
    <w:rsid w:val="55EA2181"/>
    <w:rsid w:val="561D301E"/>
    <w:rsid w:val="56232824"/>
    <w:rsid w:val="56260D65"/>
    <w:rsid w:val="56340E2C"/>
    <w:rsid w:val="563546BB"/>
    <w:rsid w:val="564116B7"/>
    <w:rsid w:val="567B2D17"/>
    <w:rsid w:val="567C1A39"/>
    <w:rsid w:val="567D2ED3"/>
    <w:rsid w:val="5694578F"/>
    <w:rsid w:val="569C21AD"/>
    <w:rsid w:val="56A375D2"/>
    <w:rsid w:val="56A76DD8"/>
    <w:rsid w:val="56AC12AA"/>
    <w:rsid w:val="56BF5419"/>
    <w:rsid w:val="56C17D6A"/>
    <w:rsid w:val="56D26EDC"/>
    <w:rsid w:val="56D60109"/>
    <w:rsid w:val="56FC0101"/>
    <w:rsid w:val="57037D35"/>
    <w:rsid w:val="571D0C58"/>
    <w:rsid w:val="5720362C"/>
    <w:rsid w:val="57216E3E"/>
    <w:rsid w:val="572D34B4"/>
    <w:rsid w:val="57304931"/>
    <w:rsid w:val="574B48B1"/>
    <w:rsid w:val="57800D9A"/>
    <w:rsid w:val="57850A10"/>
    <w:rsid w:val="578A3BA3"/>
    <w:rsid w:val="578C1FD0"/>
    <w:rsid w:val="579831FD"/>
    <w:rsid w:val="57B40EE6"/>
    <w:rsid w:val="57C55108"/>
    <w:rsid w:val="57ED1668"/>
    <w:rsid w:val="57F0498D"/>
    <w:rsid w:val="57F756AD"/>
    <w:rsid w:val="57FA7A3D"/>
    <w:rsid w:val="58212373"/>
    <w:rsid w:val="58291F81"/>
    <w:rsid w:val="582E6650"/>
    <w:rsid w:val="583E4053"/>
    <w:rsid w:val="587C69B3"/>
    <w:rsid w:val="589C442D"/>
    <w:rsid w:val="58A33A10"/>
    <w:rsid w:val="58B96B20"/>
    <w:rsid w:val="58BA6DA0"/>
    <w:rsid w:val="58BD71F9"/>
    <w:rsid w:val="58D02D3D"/>
    <w:rsid w:val="58F11048"/>
    <w:rsid w:val="58F40CC6"/>
    <w:rsid w:val="58F54B73"/>
    <w:rsid w:val="59006FEA"/>
    <w:rsid w:val="59256B2F"/>
    <w:rsid w:val="596B34E3"/>
    <w:rsid w:val="596D7759"/>
    <w:rsid w:val="597A4314"/>
    <w:rsid w:val="598C6D62"/>
    <w:rsid w:val="59A00EFA"/>
    <w:rsid w:val="59B47B1B"/>
    <w:rsid w:val="59B7395F"/>
    <w:rsid w:val="59D14ABD"/>
    <w:rsid w:val="59DF3E59"/>
    <w:rsid w:val="5A0C1D56"/>
    <w:rsid w:val="5A0F1D37"/>
    <w:rsid w:val="5A1145A7"/>
    <w:rsid w:val="5A1603BC"/>
    <w:rsid w:val="5A2210C8"/>
    <w:rsid w:val="5A272E64"/>
    <w:rsid w:val="5A3871DB"/>
    <w:rsid w:val="5A3E64BC"/>
    <w:rsid w:val="5A743954"/>
    <w:rsid w:val="5A746229"/>
    <w:rsid w:val="5A77304D"/>
    <w:rsid w:val="5A79572E"/>
    <w:rsid w:val="5A7C4A3F"/>
    <w:rsid w:val="5A94155F"/>
    <w:rsid w:val="5A9F01A6"/>
    <w:rsid w:val="5AA4075E"/>
    <w:rsid w:val="5ABA36CE"/>
    <w:rsid w:val="5ACD38F0"/>
    <w:rsid w:val="5ADE6587"/>
    <w:rsid w:val="5B2670D7"/>
    <w:rsid w:val="5B756AA5"/>
    <w:rsid w:val="5B8310ED"/>
    <w:rsid w:val="5B904863"/>
    <w:rsid w:val="5BA93AF3"/>
    <w:rsid w:val="5BBA5559"/>
    <w:rsid w:val="5BBC231F"/>
    <w:rsid w:val="5BC84B7F"/>
    <w:rsid w:val="5BD34B6C"/>
    <w:rsid w:val="5BE344A2"/>
    <w:rsid w:val="5BEE6158"/>
    <w:rsid w:val="5C1019D4"/>
    <w:rsid w:val="5C3632D5"/>
    <w:rsid w:val="5C5348E5"/>
    <w:rsid w:val="5C5A651A"/>
    <w:rsid w:val="5C6B6FF0"/>
    <w:rsid w:val="5C782508"/>
    <w:rsid w:val="5CB033E1"/>
    <w:rsid w:val="5CB71F1D"/>
    <w:rsid w:val="5D25239B"/>
    <w:rsid w:val="5D3A711C"/>
    <w:rsid w:val="5DAA2422"/>
    <w:rsid w:val="5DBD55D9"/>
    <w:rsid w:val="5DC809C8"/>
    <w:rsid w:val="5DDA4E5E"/>
    <w:rsid w:val="5DDE2351"/>
    <w:rsid w:val="5E075CF1"/>
    <w:rsid w:val="5E212BAC"/>
    <w:rsid w:val="5E4210DE"/>
    <w:rsid w:val="5E4B5F57"/>
    <w:rsid w:val="5E573B57"/>
    <w:rsid w:val="5EB7615A"/>
    <w:rsid w:val="5EC405D8"/>
    <w:rsid w:val="5EE12F24"/>
    <w:rsid w:val="5EE878F6"/>
    <w:rsid w:val="5EFD59B8"/>
    <w:rsid w:val="5F11740F"/>
    <w:rsid w:val="5F17263D"/>
    <w:rsid w:val="5F1D1971"/>
    <w:rsid w:val="5F5632C5"/>
    <w:rsid w:val="5F607E92"/>
    <w:rsid w:val="5F6E2DA1"/>
    <w:rsid w:val="5F98426A"/>
    <w:rsid w:val="5F9A4C53"/>
    <w:rsid w:val="5F9B3F66"/>
    <w:rsid w:val="5F9E6BE8"/>
    <w:rsid w:val="5FBD1343"/>
    <w:rsid w:val="5FD17673"/>
    <w:rsid w:val="5FE06302"/>
    <w:rsid w:val="5FF71DE1"/>
    <w:rsid w:val="60020763"/>
    <w:rsid w:val="6025396C"/>
    <w:rsid w:val="60443F67"/>
    <w:rsid w:val="60637B95"/>
    <w:rsid w:val="606F0155"/>
    <w:rsid w:val="608D038F"/>
    <w:rsid w:val="60A75108"/>
    <w:rsid w:val="60AC727B"/>
    <w:rsid w:val="60D53D19"/>
    <w:rsid w:val="60EB5CB6"/>
    <w:rsid w:val="60F961EB"/>
    <w:rsid w:val="60FB233F"/>
    <w:rsid w:val="610E18A2"/>
    <w:rsid w:val="61236FC9"/>
    <w:rsid w:val="612E6D89"/>
    <w:rsid w:val="61381004"/>
    <w:rsid w:val="6157432C"/>
    <w:rsid w:val="616263C6"/>
    <w:rsid w:val="616906AA"/>
    <w:rsid w:val="61742D72"/>
    <w:rsid w:val="61761E8E"/>
    <w:rsid w:val="61775BD1"/>
    <w:rsid w:val="618F629E"/>
    <w:rsid w:val="61946E1B"/>
    <w:rsid w:val="61B628DB"/>
    <w:rsid w:val="61DE3868"/>
    <w:rsid w:val="61DF24C3"/>
    <w:rsid w:val="61EC2BB2"/>
    <w:rsid w:val="61F502E8"/>
    <w:rsid w:val="62073C81"/>
    <w:rsid w:val="62136A78"/>
    <w:rsid w:val="621F5EE0"/>
    <w:rsid w:val="62427742"/>
    <w:rsid w:val="6250070F"/>
    <w:rsid w:val="625B71F0"/>
    <w:rsid w:val="6274191F"/>
    <w:rsid w:val="62B00AA2"/>
    <w:rsid w:val="62B27EAC"/>
    <w:rsid w:val="62E83A3A"/>
    <w:rsid w:val="62E862BD"/>
    <w:rsid w:val="62ED4179"/>
    <w:rsid w:val="62FF6979"/>
    <w:rsid w:val="630006EA"/>
    <w:rsid w:val="63045A59"/>
    <w:rsid w:val="63127731"/>
    <w:rsid w:val="633443D1"/>
    <w:rsid w:val="633745A7"/>
    <w:rsid w:val="634853B4"/>
    <w:rsid w:val="634B1F1B"/>
    <w:rsid w:val="637E124B"/>
    <w:rsid w:val="63987541"/>
    <w:rsid w:val="63A768F7"/>
    <w:rsid w:val="63BB7B2D"/>
    <w:rsid w:val="63D03DE1"/>
    <w:rsid w:val="63D05696"/>
    <w:rsid w:val="63D24910"/>
    <w:rsid w:val="63E25289"/>
    <w:rsid w:val="64010D27"/>
    <w:rsid w:val="640A375B"/>
    <w:rsid w:val="641E0926"/>
    <w:rsid w:val="64523F7E"/>
    <w:rsid w:val="64905B38"/>
    <w:rsid w:val="64996695"/>
    <w:rsid w:val="649D1D43"/>
    <w:rsid w:val="64AE4A1B"/>
    <w:rsid w:val="64B1480B"/>
    <w:rsid w:val="64B86067"/>
    <w:rsid w:val="64B96FBB"/>
    <w:rsid w:val="64BD6AA2"/>
    <w:rsid w:val="64C116CF"/>
    <w:rsid w:val="64C82D25"/>
    <w:rsid w:val="64CA30F1"/>
    <w:rsid w:val="64D057A4"/>
    <w:rsid w:val="64D84C25"/>
    <w:rsid w:val="64D96C80"/>
    <w:rsid w:val="64E43860"/>
    <w:rsid w:val="650D3A2E"/>
    <w:rsid w:val="6521002B"/>
    <w:rsid w:val="654D12B9"/>
    <w:rsid w:val="65544F2F"/>
    <w:rsid w:val="656F3CBC"/>
    <w:rsid w:val="657D1C37"/>
    <w:rsid w:val="657D390A"/>
    <w:rsid w:val="657F6514"/>
    <w:rsid w:val="658A4A65"/>
    <w:rsid w:val="659B25ED"/>
    <w:rsid w:val="65A63ABB"/>
    <w:rsid w:val="65B62248"/>
    <w:rsid w:val="65C31F4C"/>
    <w:rsid w:val="65C84406"/>
    <w:rsid w:val="65D75BD9"/>
    <w:rsid w:val="65E174F1"/>
    <w:rsid w:val="66083237"/>
    <w:rsid w:val="66117A87"/>
    <w:rsid w:val="661579EA"/>
    <w:rsid w:val="66274ED1"/>
    <w:rsid w:val="66296F4B"/>
    <w:rsid w:val="66486C88"/>
    <w:rsid w:val="66506FBE"/>
    <w:rsid w:val="66680CF5"/>
    <w:rsid w:val="66722D7E"/>
    <w:rsid w:val="66795C34"/>
    <w:rsid w:val="669B319D"/>
    <w:rsid w:val="66AF4E0F"/>
    <w:rsid w:val="66C937CB"/>
    <w:rsid w:val="66CB0279"/>
    <w:rsid w:val="66D60CC4"/>
    <w:rsid w:val="66DA79E1"/>
    <w:rsid w:val="66DB1E80"/>
    <w:rsid w:val="670E512F"/>
    <w:rsid w:val="6717766E"/>
    <w:rsid w:val="67236E9B"/>
    <w:rsid w:val="673C399E"/>
    <w:rsid w:val="674053E6"/>
    <w:rsid w:val="67423496"/>
    <w:rsid w:val="674243D5"/>
    <w:rsid w:val="674535FE"/>
    <w:rsid w:val="676026AF"/>
    <w:rsid w:val="676D3752"/>
    <w:rsid w:val="678F58A0"/>
    <w:rsid w:val="679C69CB"/>
    <w:rsid w:val="67D5311C"/>
    <w:rsid w:val="67DC334C"/>
    <w:rsid w:val="67E352BD"/>
    <w:rsid w:val="67F34211"/>
    <w:rsid w:val="67FF1258"/>
    <w:rsid w:val="67FF52AE"/>
    <w:rsid w:val="6804217A"/>
    <w:rsid w:val="68186EAA"/>
    <w:rsid w:val="68227FF6"/>
    <w:rsid w:val="684F2794"/>
    <w:rsid w:val="68502032"/>
    <w:rsid w:val="68645012"/>
    <w:rsid w:val="68665D49"/>
    <w:rsid w:val="68710381"/>
    <w:rsid w:val="68731E42"/>
    <w:rsid w:val="68892437"/>
    <w:rsid w:val="68931938"/>
    <w:rsid w:val="68CA4FFE"/>
    <w:rsid w:val="68E75D5F"/>
    <w:rsid w:val="69140F77"/>
    <w:rsid w:val="69260C51"/>
    <w:rsid w:val="692659FD"/>
    <w:rsid w:val="694743B4"/>
    <w:rsid w:val="69563D13"/>
    <w:rsid w:val="69581A87"/>
    <w:rsid w:val="695F359E"/>
    <w:rsid w:val="69745125"/>
    <w:rsid w:val="6981559E"/>
    <w:rsid w:val="69857B0A"/>
    <w:rsid w:val="699120C1"/>
    <w:rsid w:val="69A20CCA"/>
    <w:rsid w:val="69AD2A84"/>
    <w:rsid w:val="69BC7410"/>
    <w:rsid w:val="69BE3D7E"/>
    <w:rsid w:val="69E974AB"/>
    <w:rsid w:val="6A151116"/>
    <w:rsid w:val="6A3A1355"/>
    <w:rsid w:val="6A6B6107"/>
    <w:rsid w:val="6A7711BA"/>
    <w:rsid w:val="6A7B41D4"/>
    <w:rsid w:val="6A8C1B2C"/>
    <w:rsid w:val="6A916825"/>
    <w:rsid w:val="6A963D0B"/>
    <w:rsid w:val="6A9F57C5"/>
    <w:rsid w:val="6AAD24C9"/>
    <w:rsid w:val="6AB87A2E"/>
    <w:rsid w:val="6AC82E13"/>
    <w:rsid w:val="6ACE6D82"/>
    <w:rsid w:val="6AD30177"/>
    <w:rsid w:val="6ADA6664"/>
    <w:rsid w:val="6AEA2155"/>
    <w:rsid w:val="6AF23750"/>
    <w:rsid w:val="6B064893"/>
    <w:rsid w:val="6B0B46F8"/>
    <w:rsid w:val="6B0E68A2"/>
    <w:rsid w:val="6B0F26C1"/>
    <w:rsid w:val="6B2B6E3B"/>
    <w:rsid w:val="6B3E0B56"/>
    <w:rsid w:val="6B4126B9"/>
    <w:rsid w:val="6B4E6B69"/>
    <w:rsid w:val="6B591C5D"/>
    <w:rsid w:val="6B672BA5"/>
    <w:rsid w:val="6B7D0F65"/>
    <w:rsid w:val="6B824F86"/>
    <w:rsid w:val="6BA66F21"/>
    <w:rsid w:val="6BA85341"/>
    <w:rsid w:val="6BAA37E7"/>
    <w:rsid w:val="6BB1579E"/>
    <w:rsid w:val="6BBE3288"/>
    <w:rsid w:val="6BCB3C96"/>
    <w:rsid w:val="6BCF03F3"/>
    <w:rsid w:val="6BE0446B"/>
    <w:rsid w:val="6BE41766"/>
    <w:rsid w:val="6BEE36FA"/>
    <w:rsid w:val="6BFF5545"/>
    <w:rsid w:val="6C13757D"/>
    <w:rsid w:val="6C272679"/>
    <w:rsid w:val="6C2D0D8D"/>
    <w:rsid w:val="6C3D0398"/>
    <w:rsid w:val="6C4B3AE6"/>
    <w:rsid w:val="6C6B110C"/>
    <w:rsid w:val="6C7E3B0E"/>
    <w:rsid w:val="6C825B32"/>
    <w:rsid w:val="6C870AAD"/>
    <w:rsid w:val="6C993C7A"/>
    <w:rsid w:val="6CA25D49"/>
    <w:rsid w:val="6CA967C5"/>
    <w:rsid w:val="6CB233C5"/>
    <w:rsid w:val="6CC06C75"/>
    <w:rsid w:val="6CE52626"/>
    <w:rsid w:val="6CE724C4"/>
    <w:rsid w:val="6CEB3E78"/>
    <w:rsid w:val="6D132037"/>
    <w:rsid w:val="6D2B69E7"/>
    <w:rsid w:val="6D3677E6"/>
    <w:rsid w:val="6D3B5D03"/>
    <w:rsid w:val="6D4A66BA"/>
    <w:rsid w:val="6D51176B"/>
    <w:rsid w:val="6D601F02"/>
    <w:rsid w:val="6D6B6334"/>
    <w:rsid w:val="6DA67CC7"/>
    <w:rsid w:val="6DB3265D"/>
    <w:rsid w:val="6DBD7C4A"/>
    <w:rsid w:val="6DC74375"/>
    <w:rsid w:val="6DED4133"/>
    <w:rsid w:val="6DFF2ECD"/>
    <w:rsid w:val="6E2D2118"/>
    <w:rsid w:val="6E4045B8"/>
    <w:rsid w:val="6E404E5C"/>
    <w:rsid w:val="6E451CC9"/>
    <w:rsid w:val="6E547D4E"/>
    <w:rsid w:val="6E561E24"/>
    <w:rsid w:val="6E67761D"/>
    <w:rsid w:val="6E82035B"/>
    <w:rsid w:val="6E824BB4"/>
    <w:rsid w:val="6E8B7BEF"/>
    <w:rsid w:val="6E925F5E"/>
    <w:rsid w:val="6E9E6E41"/>
    <w:rsid w:val="6EA16EC5"/>
    <w:rsid w:val="6EA5482C"/>
    <w:rsid w:val="6EBC09F7"/>
    <w:rsid w:val="6EC21436"/>
    <w:rsid w:val="6EC8503F"/>
    <w:rsid w:val="6EFF162A"/>
    <w:rsid w:val="6F317563"/>
    <w:rsid w:val="6F57618D"/>
    <w:rsid w:val="6F5B43AE"/>
    <w:rsid w:val="6F6350E8"/>
    <w:rsid w:val="6F672964"/>
    <w:rsid w:val="6F693089"/>
    <w:rsid w:val="6F78221E"/>
    <w:rsid w:val="6F7D5E90"/>
    <w:rsid w:val="6FC04EE4"/>
    <w:rsid w:val="6FD36795"/>
    <w:rsid w:val="6FDC53C1"/>
    <w:rsid w:val="6FE11CDB"/>
    <w:rsid w:val="6FF5685B"/>
    <w:rsid w:val="6FFD2696"/>
    <w:rsid w:val="6FFE36EC"/>
    <w:rsid w:val="70112835"/>
    <w:rsid w:val="7018531F"/>
    <w:rsid w:val="70192C00"/>
    <w:rsid w:val="704027E1"/>
    <w:rsid w:val="7041584B"/>
    <w:rsid w:val="704D476F"/>
    <w:rsid w:val="704F1B23"/>
    <w:rsid w:val="705C76B5"/>
    <w:rsid w:val="706169FF"/>
    <w:rsid w:val="70BE228B"/>
    <w:rsid w:val="70D642C6"/>
    <w:rsid w:val="70F516EF"/>
    <w:rsid w:val="70F65824"/>
    <w:rsid w:val="70F95EE6"/>
    <w:rsid w:val="71057B42"/>
    <w:rsid w:val="711429F1"/>
    <w:rsid w:val="71152640"/>
    <w:rsid w:val="711E0083"/>
    <w:rsid w:val="717F577D"/>
    <w:rsid w:val="718F737D"/>
    <w:rsid w:val="71973D39"/>
    <w:rsid w:val="71A24F2F"/>
    <w:rsid w:val="71A62BDB"/>
    <w:rsid w:val="71AB5051"/>
    <w:rsid w:val="71BB5D0A"/>
    <w:rsid w:val="71D33387"/>
    <w:rsid w:val="71FF1D31"/>
    <w:rsid w:val="72032949"/>
    <w:rsid w:val="72074BC5"/>
    <w:rsid w:val="722D0123"/>
    <w:rsid w:val="72330710"/>
    <w:rsid w:val="724E1A71"/>
    <w:rsid w:val="72581A16"/>
    <w:rsid w:val="725C67F0"/>
    <w:rsid w:val="7267195F"/>
    <w:rsid w:val="726B3CE8"/>
    <w:rsid w:val="728464CE"/>
    <w:rsid w:val="728C315E"/>
    <w:rsid w:val="72D03B95"/>
    <w:rsid w:val="72D923D8"/>
    <w:rsid w:val="72DB1274"/>
    <w:rsid w:val="731C1934"/>
    <w:rsid w:val="732C562B"/>
    <w:rsid w:val="732D12E5"/>
    <w:rsid w:val="73346776"/>
    <w:rsid w:val="735C6B57"/>
    <w:rsid w:val="73610493"/>
    <w:rsid w:val="73637313"/>
    <w:rsid w:val="73637ADE"/>
    <w:rsid w:val="736921C6"/>
    <w:rsid w:val="7382629E"/>
    <w:rsid w:val="73A74E74"/>
    <w:rsid w:val="73B64639"/>
    <w:rsid w:val="73C071C6"/>
    <w:rsid w:val="73CE422D"/>
    <w:rsid w:val="73D878FE"/>
    <w:rsid w:val="73F04697"/>
    <w:rsid w:val="7409396F"/>
    <w:rsid w:val="741926E2"/>
    <w:rsid w:val="74256C8D"/>
    <w:rsid w:val="74422C74"/>
    <w:rsid w:val="744A6417"/>
    <w:rsid w:val="745F559C"/>
    <w:rsid w:val="74C70B65"/>
    <w:rsid w:val="74E119D3"/>
    <w:rsid w:val="74E12B2E"/>
    <w:rsid w:val="74E30FE5"/>
    <w:rsid w:val="75057B39"/>
    <w:rsid w:val="751953DB"/>
    <w:rsid w:val="751A429E"/>
    <w:rsid w:val="751D2F7C"/>
    <w:rsid w:val="75202F4F"/>
    <w:rsid w:val="75221707"/>
    <w:rsid w:val="752217A3"/>
    <w:rsid w:val="75295D5B"/>
    <w:rsid w:val="75367518"/>
    <w:rsid w:val="756E5A87"/>
    <w:rsid w:val="757A0E5F"/>
    <w:rsid w:val="75840729"/>
    <w:rsid w:val="75964625"/>
    <w:rsid w:val="75965591"/>
    <w:rsid w:val="75971777"/>
    <w:rsid w:val="759916AC"/>
    <w:rsid w:val="75A1338B"/>
    <w:rsid w:val="75A24068"/>
    <w:rsid w:val="75B95FCE"/>
    <w:rsid w:val="75C00E4A"/>
    <w:rsid w:val="75DF4468"/>
    <w:rsid w:val="76060C2A"/>
    <w:rsid w:val="7608612D"/>
    <w:rsid w:val="760D292B"/>
    <w:rsid w:val="761558C9"/>
    <w:rsid w:val="76233507"/>
    <w:rsid w:val="762E10EC"/>
    <w:rsid w:val="763D7E06"/>
    <w:rsid w:val="76512308"/>
    <w:rsid w:val="765B3240"/>
    <w:rsid w:val="766E04C4"/>
    <w:rsid w:val="76786B6B"/>
    <w:rsid w:val="768310DB"/>
    <w:rsid w:val="768D1D27"/>
    <w:rsid w:val="76934C85"/>
    <w:rsid w:val="76B020F4"/>
    <w:rsid w:val="76C7471D"/>
    <w:rsid w:val="76CD35C6"/>
    <w:rsid w:val="76D93F09"/>
    <w:rsid w:val="76F07397"/>
    <w:rsid w:val="76F5222E"/>
    <w:rsid w:val="77060827"/>
    <w:rsid w:val="772554B7"/>
    <w:rsid w:val="77264277"/>
    <w:rsid w:val="77286C7D"/>
    <w:rsid w:val="772B73E9"/>
    <w:rsid w:val="773E2DF7"/>
    <w:rsid w:val="7752015A"/>
    <w:rsid w:val="77636624"/>
    <w:rsid w:val="776F122D"/>
    <w:rsid w:val="77755E67"/>
    <w:rsid w:val="779871C3"/>
    <w:rsid w:val="77BB436D"/>
    <w:rsid w:val="77D772E4"/>
    <w:rsid w:val="77FA2AD8"/>
    <w:rsid w:val="78085CF8"/>
    <w:rsid w:val="78216216"/>
    <w:rsid w:val="78240EAC"/>
    <w:rsid w:val="783A665B"/>
    <w:rsid w:val="784B68B9"/>
    <w:rsid w:val="784E6FB8"/>
    <w:rsid w:val="7862516E"/>
    <w:rsid w:val="78711D19"/>
    <w:rsid w:val="787E2728"/>
    <w:rsid w:val="78983636"/>
    <w:rsid w:val="78B3219F"/>
    <w:rsid w:val="78C70F56"/>
    <w:rsid w:val="78DB60D3"/>
    <w:rsid w:val="78E331D8"/>
    <w:rsid w:val="78E72200"/>
    <w:rsid w:val="78E97FED"/>
    <w:rsid w:val="78F4204E"/>
    <w:rsid w:val="78FE5E77"/>
    <w:rsid w:val="7904078A"/>
    <w:rsid w:val="79085EB7"/>
    <w:rsid w:val="790B3474"/>
    <w:rsid w:val="79216D31"/>
    <w:rsid w:val="793B1DF5"/>
    <w:rsid w:val="794167C2"/>
    <w:rsid w:val="79753624"/>
    <w:rsid w:val="798673B8"/>
    <w:rsid w:val="798B7866"/>
    <w:rsid w:val="79A92933"/>
    <w:rsid w:val="79CA2258"/>
    <w:rsid w:val="79F80601"/>
    <w:rsid w:val="7A124ADC"/>
    <w:rsid w:val="7A263351"/>
    <w:rsid w:val="7A266265"/>
    <w:rsid w:val="7A370B00"/>
    <w:rsid w:val="7A447AEF"/>
    <w:rsid w:val="7A463752"/>
    <w:rsid w:val="7A6274BA"/>
    <w:rsid w:val="7A6E5EA9"/>
    <w:rsid w:val="7A7C0238"/>
    <w:rsid w:val="7A7D3468"/>
    <w:rsid w:val="7A8502C1"/>
    <w:rsid w:val="7AA86927"/>
    <w:rsid w:val="7AB57540"/>
    <w:rsid w:val="7AC72715"/>
    <w:rsid w:val="7ACE7785"/>
    <w:rsid w:val="7ACF7C5B"/>
    <w:rsid w:val="7AEC25B9"/>
    <w:rsid w:val="7AEE2113"/>
    <w:rsid w:val="7AF10F70"/>
    <w:rsid w:val="7AF122C4"/>
    <w:rsid w:val="7AFC4994"/>
    <w:rsid w:val="7AFF7F14"/>
    <w:rsid w:val="7B023C1B"/>
    <w:rsid w:val="7B220859"/>
    <w:rsid w:val="7B231EB3"/>
    <w:rsid w:val="7B394923"/>
    <w:rsid w:val="7B79164F"/>
    <w:rsid w:val="7B86539E"/>
    <w:rsid w:val="7B8E4186"/>
    <w:rsid w:val="7B9E7AA0"/>
    <w:rsid w:val="7BA06A45"/>
    <w:rsid w:val="7BB109C0"/>
    <w:rsid w:val="7BC40FA5"/>
    <w:rsid w:val="7BE97668"/>
    <w:rsid w:val="7BEE459E"/>
    <w:rsid w:val="7C031809"/>
    <w:rsid w:val="7C1215DB"/>
    <w:rsid w:val="7C242FCD"/>
    <w:rsid w:val="7C2A5815"/>
    <w:rsid w:val="7C322164"/>
    <w:rsid w:val="7C365B9B"/>
    <w:rsid w:val="7C3B5ABE"/>
    <w:rsid w:val="7C456125"/>
    <w:rsid w:val="7C5E1196"/>
    <w:rsid w:val="7C742C05"/>
    <w:rsid w:val="7C79238C"/>
    <w:rsid w:val="7C862510"/>
    <w:rsid w:val="7C8D4983"/>
    <w:rsid w:val="7C9914E6"/>
    <w:rsid w:val="7C9E1132"/>
    <w:rsid w:val="7CC34094"/>
    <w:rsid w:val="7CD16697"/>
    <w:rsid w:val="7CF769AC"/>
    <w:rsid w:val="7D415C4A"/>
    <w:rsid w:val="7D7E2643"/>
    <w:rsid w:val="7D8475EF"/>
    <w:rsid w:val="7DDA214C"/>
    <w:rsid w:val="7DDD4792"/>
    <w:rsid w:val="7DE027A8"/>
    <w:rsid w:val="7DFC3B1B"/>
    <w:rsid w:val="7E002DEA"/>
    <w:rsid w:val="7E00757F"/>
    <w:rsid w:val="7E0B65EA"/>
    <w:rsid w:val="7E0D328C"/>
    <w:rsid w:val="7E0D5384"/>
    <w:rsid w:val="7E140202"/>
    <w:rsid w:val="7E275BC0"/>
    <w:rsid w:val="7E29251D"/>
    <w:rsid w:val="7E7D7651"/>
    <w:rsid w:val="7EA356B7"/>
    <w:rsid w:val="7EA81F3D"/>
    <w:rsid w:val="7EA9680D"/>
    <w:rsid w:val="7EAB5B38"/>
    <w:rsid w:val="7EF212D6"/>
    <w:rsid w:val="7EF67981"/>
    <w:rsid w:val="7EF94012"/>
    <w:rsid w:val="7F1D247D"/>
    <w:rsid w:val="7F4C4C29"/>
    <w:rsid w:val="7F5C3F80"/>
    <w:rsid w:val="7F743D31"/>
    <w:rsid w:val="7F7C6F64"/>
    <w:rsid w:val="7F7D4B07"/>
    <w:rsid w:val="7F7E00C4"/>
    <w:rsid w:val="7F8112C6"/>
    <w:rsid w:val="7F9B5AED"/>
    <w:rsid w:val="7F9E419B"/>
    <w:rsid w:val="7FB11417"/>
    <w:rsid w:val="7FB230A1"/>
    <w:rsid w:val="7FB43AF7"/>
    <w:rsid w:val="7FB96A06"/>
    <w:rsid w:val="7FD6D577"/>
    <w:rsid w:val="7FE81056"/>
    <w:rsid w:val="7FE82E5D"/>
    <w:rsid w:val="7FF00198"/>
    <w:rsid w:val="BD3F5110"/>
    <w:rsid w:val="DE858ACD"/>
    <w:rsid w:val="ED89677E"/>
    <w:rsid w:val="EFD21C0A"/>
    <w:rsid w:val="EFFE3B5F"/>
    <w:rsid w:val="FD5FA7DC"/>
    <w:rsid w:val="FDFA1AA1"/>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560" w:firstLineChars="200"/>
      <w:jc w:val="both"/>
    </w:pPr>
    <w:rPr>
      <w:rFonts w:ascii="Times New Roman" w:hAnsi="Times New Roman" w:eastAsia="华文仿宋" w:cs="Times New Roman"/>
      <w:kern w:val="2"/>
      <w:sz w:val="28"/>
      <w:szCs w:val="22"/>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eastAsia="黑体"/>
      <w:b/>
      <w:kern w:val="44"/>
      <w:sz w:val="32"/>
    </w:rPr>
  </w:style>
  <w:style w:type="paragraph" w:styleId="3">
    <w:name w:val="heading 2"/>
    <w:basedOn w:val="1"/>
    <w:next w:val="1"/>
    <w:unhideWhenUsed/>
    <w:qFormat/>
    <w:uiPriority w:val="0"/>
    <w:pPr>
      <w:keepNext/>
      <w:keepLines/>
      <w:numPr>
        <w:ilvl w:val="0"/>
        <w:numId w:val="1"/>
      </w:numPr>
      <w:spacing w:before="50" w:beforeLines="50"/>
      <w:jc w:val="left"/>
      <w:outlineLvl w:val="1"/>
    </w:pPr>
    <w:rPr>
      <w:rFonts w:ascii="Arial" w:hAnsi="Arial" w:eastAsia="黑体"/>
      <w:b/>
    </w:rPr>
  </w:style>
  <w:style w:type="paragraph" w:styleId="4">
    <w:name w:val="heading 3"/>
    <w:basedOn w:val="1"/>
    <w:next w:val="1"/>
    <w:link w:val="19"/>
    <w:unhideWhenUsed/>
    <w:qFormat/>
    <w:uiPriority w:val="0"/>
    <w:pPr>
      <w:keepNext/>
      <w:keepLines/>
      <w:numPr>
        <w:ilvl w:val="0"/>
        <w:numId w:val="2"/>
      </w:numPr>
      <w:adjustRightInd w:val="0"/>
      <w:ind w:firstLine="420" w:firstLineChars="150"/>
      <w:jc w:val="left"/>
      <w:outlineLvl w:val="2"/>
    </w:pPr>
    <w:rPr>
      <w:b/>
    </w:rPr>
  </w:style>
  <w:style w:type="character" w:default="1" w:styleId="14">
    <w:name w:val="Default Paragraph Font"/>
    <w:unhideWhenUsed/>
    <w:qFormat/>
    <w:uiPriority w:val="1"/>
  </w:style>
  <w:style w:type="table" w:default="1" w:styleId="18">
    <w:name w:val="Normal Table"/>
    <w:unhideWhenUsed/>
    <w:qFormat/>
    <w:uiPriority w:val="99"/>
    <w:tblPr>
      <w:tblStyle w:val="18"/>
      <w:tblLayout w:type="fixed"/>
      <w:tblCellMar>
        <w:top w:w="0" w:type="dxa"/>
        <w:left w:w="108" w:type="dxa"/>
        <w:bottom w:w="0" w:type="dxa"/>
        <w:right w:w="108" w:type="dxa"/>
      </w:tblCellMar>
    </w:tblPr>
    <w:tcPr>
      <w:textDirection w:val="lrTb"/>
    </w:tcPr>
  </w:style>
  <w:style w:type="paragraph" w:styleId="5">
    <w:name w:val="Body Text Indent"/>
    <w:basedOn w:val="1"/>
    <w:qFormat/>
    <w:uiPriority w:val="0"/>
    <w:pPr>
      <w:spacing w:after="120"/>
      <w:ind w:left="420" w:leftChars="200"/>
    </w:pPr>
    <w:rPr>
      <w:sz w:val="21"/>
    </w:rPr>
  </w:style>
  <w:style w:type="paragraph" w:styleId="6">
    <w:name w:val="toc 3"/>
    <w:basedOn w:val="1"/>
    <w:next w:val="1"/>
    <w:link w:val="20"/>
    <w:qFormat/>
    <w:uiPriority w:val="0"/>
    <w:pPr>
      <w:ind w:left="840" w:leftChars="400"/>
    </w:pPr>
  </w:style>
  <w:style w:type="paragraph" w:styleId="7">
    <w:name w:val="Date"/>
    <w:basedOn w:val="1"/>
    <w:next w:val="1"/>
    <w:qFormat/>
    <w:uiPriority w:val="0"/>
    <w:pPr>
      <w:widowControl/>
      <w:ind w:left="100" w:leftChars="2500"/>
      <w:jc w:val="left"/>
    </w:pPr>
    <w:rPr>
      <w:rFonts w:hint="eastAsia" w:ascii="仿宋_GB2312" w:eastAsia="仿宋_GB2312"/>
      <w:kern w:val="0"/>
    </w:rPr>
  </w:style>
  <w:style w:type="paragraph" w:styleId="8">
    <w:name w:val="Balloon Text"/>
    <w:basedOn w:val="1"/>
    <w:link w:val="21"/>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jc w:val="left"/>
    </w:pPr>
    <w:rPr>
      <w:kern w:val="0"/>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Autospacing="1" w:afterAutospacing="1"/>
      <w:jc w:val="left"/>
    </w:pPr>
    <w:rPr>
      <w:kern w:val="0"/>
      <w:sz w:val="24"/>
    </w:rPr>
  </w:style>
  <w:style w:type="character" w:styleId="15">
    <w:name w:val="Strong"/>
    <w:basedOn w:val="14"/>
    <w:qFormat/>
    <w:uiPriority w:val="0"/>
    <w:rPr>
      <w:b/>
      <w:color w:val="FFFFFF"/>
      <w:bdr w:val="single" w:color="CFCFCF" w:sz="6" w:space="0"/>
      <w:shd w:val="clear" w:color="auto" w:fill="CFCFCF"/>
    </w:rPr>
  </w:style>
  <w:style w:type="character" w:styleId="16">
    <w:name w:val="FollowedHyperlink"/>
    <w:basedOn w:val="14"/>
    <w:qFormat/>
    <w:uiPriority w:val="0"/>
    <w:rPr>
      <w:color w:val="606163"/>
      <w:sz w:val="18"/>
      <w:szCs w:val="18"/>
      <w:u w:val="none"/>
    </w:rPr>
  </w:style>
  <w:style w:type="character" w:styleId="17">
    <w:name w:val="Hyperlink"/>
    <w:basedOn w:val="14"/>
    <w:qFormat/>
    <w:uiPriority w:val="0"/>
    <w:rPr>
      <w:color w:val="606163"/>
      <w:sz w:val="18"/>
      <w:szCs w:val="18"/>
      <w:u w:val="none"/>
    </w:rPr>
  </w:style>
  <w:style w:type="character" w:customStyle="1" w:styleId="19">
    <w:name w:val="标题 3 Char"/>
    <w:link w:val="4"/>
    <w:qFormat/>
    <w:uiPriority w:val="0"/>
    <w:rPr>
      <w:rFonts w:eastAsia="华文仿宋"/>
      <w:b/>
    </w:rPr>
  </w:style>
  <w:style w:type="character" w:customStyle="1" w:styleId="20">
    <w:name w:val="目录 3 Char"/>
    <w:link w:val="6"/>
    <w:qFormat/>
    <w:uiPriority w:val="0"/>
  </w:style>
  <w:style w:type="character" w:customStyle="1" w:styleId="21">
    <w:name w:val="批注框文本 Char"/>
    <w:basedOn w:val="14"/>
    <w:link w:val="8"/>
    <w:qFormat/>
    <w:uiPriority w:val="0"/>
    <w:rPr>
      <w:rFonts w:eastAsia="华文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tyles" Target="style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2866</Words>
  <Characters>16338</Characters>
  <Lines>136</Lines>
  <Paragraphs>38</Paragraphs>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2014-10-31T12:08:00Z</dcterms:created>
  <dc:creator>Administrator</dc:creator>
  <cp:lastModifiedBy>孙立军</cp:lastModifiedBy>
  <cp:lastPrinted>2017-06-12T23:24:00Z</cp:lastPrinted>
  <dcterms:modified xsi:type="dcterms:W3CDTF">2017-06-14T06:27:26Z</dcterms:modified>
  <dc:title>服务指南编号：04034</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