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Default ContentType="image/jpeg" Extension="jpeg"/>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firstLine="0" w:firstLineChars="0"/>
        <w:jc w:val="left"/>
        <w:rPr>
          <w:rFonts w:ascii="黑体" w:hAnsi="黑体" w:eastAsia="黑体" w:cs="黑体"/>
          <w:color w:val="C00000"/>
          <w:szCs w:val="28"/>
        </w:rPr>
      </w:pPr>
      <w:r>
        <w:rPr>
          <w:rFonts w:hint="eastAsia" w:ascii="黑体" w:hAnsi="黑体" w:eastAsia="黑体" w:cs="黑体"/>
          <w:color w:val="C00000"/>
          <w:kern w:val="2"/>
          <w:sz w:val="28"/>
          <w:szCs w:val="28"/>
          <w:lang w:val="en-US" w:eastAsia="zh-CN" w:bidi="ar-SA"/>
        </w:rPr>
        <w:pict>
          <v:shape id="Picture 1" o:spid="_x0000_s1027" alt="捕获2" type="#_x0000_t75" style="height:33pt;width:40.5pt;rotation:0f;" o:ole="f" fillcolor="#FFFFFF" filled="f" o:preferrelative="t" stroked="f" coordorigin="0,0" coordsize="21600,21600">
            <v:fill on="f" color2="#FFFFFF" focus="0%"/>
            <v:imagedata gain="65536f" blacklevel="0f" gamma="0" o:title="捕获2" r:id="rId15"/>
            <o:lock v:ext="edit" position="f" selection="f" grouping="f" rotation="f" cropping="f" text="f" aspectratio="t"/>
            <w10:wrap type="none"/>
            <w10:anchorlock/>
          </v:shape>
        </w:pict>
      </w:r>
      <w:r>
        <w:rPr>
          <w:rFonts w:hint="eastAsia" w:ascii="黑体" w:hAnsi="黑体" w:eastAsia="黑体" w:cs="黑体"/>
          <w:color w:val="C00000"/>
          <w:szCs w:val="28"/>
          <w:lang w:val="en-US" w:eastAsia="zh-CN"/>
        </w:rPr>
        <w:t xml:space="preserve">                                   </w:t>
      </w:r>
      <w:r>
        <w:rPr>
          <w:rFonts w:hint="eastAsia" w:ascii="黑体" w:hAnsi="黑体" w:eastAsia="黑体" w:cs="黑体"/>
          <w:color w:val="C00000"/>
          <w:szCs w:val="28"/>
        </w:rPr>
        <w:t>服务指南编号：04</w:t>
      </w:r>
      <w:r>
        <w:rPr>
          <w:rFonts w:ascii="黑体" w:hAnsi="黑体" w:eastAsia="黑体" w:cs="黑体"/>
          <w:color w:val="C00000"/>
          <w:szCs w:val="28"/>
        </w:rPr>
        <w:t>0</w:t>
      </w:r>
      <w:r>
        <w:rPr>
          <w:rFonts w:hint="eastAsia" w:ascii="黑体" w:hAnsi="黑体" w:eastAsia="黑体" w:cs="黑体"/>
          <w:color w:val="C00000"/>
          <w:szCs w:val="28"/>
          <w:lang w:val="en-US" w:eastAsia="zh-CN"/>
        </w:rPr>
        <w:t>26</w:t>
      </w: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0" w:firstLineChars="0"/>
        <w:jc w:val="center"/>
        <w:rPr>
          <w:rFonts w:hint="eastAsia" w:ascii="隶书" w:eastAsia="隶书"/>
          <w:b/>
          <w:bCs/>
          <w:sz w:val="48"/>
          <w:szCs w:val="48"/>
        </w:rPr>
      </w:pPr>
      <w:r>
        <w:rPr>
          <w:rFonts w:hint="eastAsia" w:ascii="隶书" w:eastAsia="隶书"/>
          <w:b/>
          <w:bCs/>
          <w:sz w:val="48"/>
          <w:szCs w:val="48"/>
        </w:rPr>
        <w:t>全国性信息网络工程或者国家规定限额以上建设项目的公用电信网、专用电</w:t>
      </w:r>
    </w:p>
    <w:p>
      <w:pPr>
        <w:ind w:firstLine="0" w:firstLineChars="0"/>
        <w:jc w:val="center"/>
        <w:rPr>
          <w:rFonts w:hint="eastAsia" w:ascii="隶书" w:eastAsia="隶书"/>
          <w:b/>
          <w:bCs/>
          <w:sz w:val="48"/>
          <w:szCs w:val="48"/>
        </w:rPr>
      </w:pPr>
      <w:r>
        <w:rPr>
          <w:rFonts w:hint="eastAsia" w:ascii="隶书" w:eastAsia="隶书"/>
          <w:b/>
          <w:bCs/>
          <w:sz w:val="48"/>
          <w:szCs w:val="48"/>
        </w:rPr>
        <w:t>信网、广播电视传输网建设审核</w:t>
      </w:r>
    </w:p>
    <w:p>
      <w:pPr>
        <w:ind w:firstLine="0" w:firstLineChars="0"/>
        <w:jc w:val="center"/>
        <w:rPr>
          <w:rFonts w:ascii="隶书" w:eastAsia="隶书"/>
          <w:b/>
          <w:bCs/>
          <w:sz w:val="48"/>
          <w:szCs w:val="48"/>
        </w:rPr>
      </w:pPr>
      <w:r>
        <w:rPr>
          <w:rFonts w:hint="eastAsia" w:ascii="隶书" w:eastAsia="隶书"/>
          <w:b/>
          <w:bCs/>
          <w:sz w:val="48"/>
          <w:szCs w:val="48"/>
        </w:rPr>
        <w:t>服务指南</w:t>
      </w: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960"/>
        <w:rPr>
          <w:rFonts w:ascii="隶书" w:eastAsia="隶书"/>
          <w:sz w:val="48"/>
          <w:szCs w:val="48"/>
        </w:rPr>
      </w:pPr>
    </w:p>
    <w:p>
      <w:pPr>
        <w:ind w:firstLine="960"/>
        <w:jc w:val="center"/>
        <w:rPr>
          <w:rFonts w:ascii="隶书" w:eastAsia="隶书"/>
          <w:sz w:val="48"/>
          <w:szCs w:val="48"/>
        </w:rPr>
      </w:pPr>
    </w:p>
    <w:p>
      <w:pPr>
        <w:jc w:val="center"/>
        <w:rPr>
          <w:rFonts w:ascii="黑体" w:hAnsi="黑体" w:eastAsia="黑体" w:cs="黑体"/>
          <w:szCs w:val="28"/>
        </w:rPr>
      </w:pPr>
      <w:r>
        <w:rPr>
          <w:rFonts w:hint="eastAsia" w:ascii="黑体" w:hAnsi="黑体" w:eastAsia="黑体" w:cs="黑体"/>
          <w:szCs w:val="28"/>
        </w:rPr>
        <w:t>发布日期：201</w:t>
      </w:r>
      <w:r>
        <w:rPr>
          <w:rFonts w:hint="eastAsia" w:ascii="黑体" w:hAnsi="黑体" w:eastAsia="黑体" w:cs="黑体"/>
          <w:szCs w:val="28"/>
          <w:lang w:val="en-US" w:eastAsia="zh-CN"/>
        </w:rPr>
        <w:t>6</w:t>
      </w:r>
      <w:r>
        <w:rPr>
          <w:rFonts w:hint="eastAsia" w:ascii="黑体" w:hAnsi="黑体" w:eastAsia="黑体" w:cs="黑体"/>
          <w:szCs w:val="28"/>
        </w:rPr>
        <w:t>年</w:t>
      </w:r>
      <w:r>
        <w:rPr>
          <w:rFonts w:hint="eastAsia" w:ascii="黑体" w:hAnsi="黑体" w:eastAsia="黑体" w:cs="黑体"/>
          <w:szCs w:val="28"/>
          <w:lang w:val="en-US" w:eastAsia="zh-CN"/>
        </w:rPr>
        <w:t>12</w:t>
      </w:r>
      <w:r>
        <w:rPr>
          <w:rFonts w:hint="eastAsia" w:ascii="黑体" w:hAnsi="黑体" w:eastAsia="黑体" w:cs="黑体"/>
          <w:szCs w:val="28"/>
        </w:rPr>
        <w:t>月</w:t>
      </w:r>
      <w:r>
        <w:rPr>
          <w:rFonts w:hint="eastAsia" w:ascii="黑体" w:hAnsi="黑体" w:eastAsia="黑体" w:cs="黑体"/>
          <w:szCs w:val="28"/>
          <w:lang w:val="en-US" w:eastAsia="zh-CN"/>
        </w:rPr>
        <w:t>5</w:t>
      </w:r>
      <w:r>
        <w:rPr>
          <w:rFonts w:hint="eastAsia" w:ascii="黑体" w:hAnsi="黑体" w:eastAsia="黑体" w:cs="黑体"/>
          <w:szCs w:val="28"/>
        </w:rPr>
        <w:t>日</w:t>
      </w:r>
    </w:p>
    <w:p>
      <w:pPr>
        <w:jc w:val="center"/>
        <w:rPr>
          <w:rFonts w:ascii="黑体" w:hAnsi="黑体" w:eastAsia="黑体" w:cs="黑体"/>
          <w:szCs w:val="28"/>
        </w:rPr>
      </w:pPr>
      <w:r>
        <w:rPr>
          <w:rFonts w:hint="eastAsia" w:ascii="黑体" w:hAnsi="黑体" w:eastAsia="黑体" w:cs="黑体"/>
          <w:szCs w:val="28"/>
        </w:rPr>
        <w:t>实施日期：201</w:t>
      </w:r>
      <w:r>
        <w:rPr>
          <w:rFonts w:hint="eastAsia" w:ascii="黑体" w:hAnsi="黑体" w:eastAsia="黑体" w:cs="黑体"/>
          <w:szCs w:val="28"/>
          <w:lang w:val="en-US" w:eastAsia="zh-CN"/>
        </w:rPr>
        <w:t>6</w:t>
      </w:r>
      <w:r>
        <w:rPr>
          <w:rFonts w:hint="eastAsia" w:ascii="黑体" w:hAnsi="黑体" w:eastAsia="黑体" w:cs="黑体"/>
          <w:szCs w:val="28"/>
        </w:rPr>
        <w:t>年</w:t>
      </w:r>
      <w:r>
        <w:rPr>
          <w:rFonts w:hint="eastAsia" w:ascii="黑体" w:hAnsi="黑体" w:eastAsia="黑体" w:cs="黑体"/>
          <w:szCs w:val="28"/>
          <w:lang w:val="en-US" w:eastAsia="zh-CN"/>
        </w:rPr>
        <w:t>12</w:t>
      </w:r>
      <w:r>
        <w:rPr>
          <w:rFonts w:hint="eastAsia" w:ascii="黑体" w:hAnsi="黑体" w:eastAsia="黑体" w:cs="黑体"/>
          <w:szCs w:val="28"/>
        </w:rPr>
        <w:t>月</w:t>
      </w:r>
      <w:r>
        <w:rPr>
          <w:rFonts w:hint="eastAsia" w:ascii="黑体" w:hAnsi="黑体" w:eastAsia="黑体" w:cs="黑体"/>
          <w:szCs w:val="28"/>
          <w:lang w:val="en-US" w:eastAsia="zh-CN"/>
        </w:rPr>
        <w:t>5</w:t>
      </w:r>
      <w:r>
        <w:rPr>
          <w:rFonts w:hint="eastAsia" w:ascii="黑体" w:hAnsi="黑体" w:eastAsia="黑体" w:cs="黑体"/>
          <w:szCs w:val="28"/>
        </w:rPr>
        <w:t>日</w:t>
      </w:r>
    </w:p>
    <w:p>
      <w:pPr>
        <w:jc w:val="center"/>
        <w:rPr>
          <w:rFonts w:ascii="黑体" w:hAnsi="黑体" w:eastAsia="黑体" w:cs="黑体"/>
          <w:szCs w:val="28"/>
        </w:rPr>
      </w:pPr>
      <w:r>
        <w:rPr>
          <w:rFonts w:hint="eastAsia" w:ascii="黑体" w:hAnsi="黑体" w:eastAsia="黑体" w:cs="黑体"/>
          <w:szCs w:val="28"/>
        </w:rPr>
        <w:t>发布机构：工业和信息化部</w:t>
      </w:r>
      <w:r>
        <w:rPr>
          <w:rFonts w:hint="eastAsia" w:ascii="黑体" w:hAnsi="黑体" w:eastAsia="黑体" w:cs="黑体"/>
          <w:szCs w:val="28"/>
          <w:lang w:eastAsia="zh-CN"/>
        </w:rPr>
        <w:t>规划司</w:t>
      </w:r>
    </w:p>
    <w:p>
      <w:pPr>
        <w:ind w:firstLine="440"/>
        <w:jc w:val="center"/>
        <w:rPr>
          <w:sz w:val="22"/>
          <w:szCs w:val="24"/>
        </w:rPr>
      </w:pPr>
    </w:p>
    <w:p>
      <w:pPr>
        <w:pStyle w:val="13"/>
        <w:widowControl/>
        <w:spacing w:before="468" w:beforeAutospacing="0" w:after="376" w:afterAutospacing="0" w:line="525" w:lineRule="atLeast"/>
        <w:ind w:firstLine="0" w:firstLineChars="0"/>
        <w:jc w:val="both"/>
        <w:rPr>
          <w:rFonts w:ascii="华文仿宋" w:hAnsi="华文仿宋" w:cs="华文仿宋"/>
          <w:sz w:val="21"/>
          <w:szCs w:val="21"/>
        </w:rPr>
      </w:pPr>
    </w:p>
    <w:p>
      <w:pPr>
        <w:pStyle w:val="3"/>
        <w:numPr>
          <w:ilvl w:val="0"/>
          <w:numId w:val="3"/>
        </w:numPr>
        <w:spacing w:before="156"/>
        <w:ind w:firstLine="562"/>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pgNumType w:start="1"/>
          <w:cols w:space="720" w:num="1"/>
          <w:titlePg/>
          <w:docGrid w:type="lines" w:linePitch="312" w:charSpace="0"/>
        </w:sectPr>
      </w:pPr>
    </w:p>
    <w:p>
      <w:pPr>
        <w:pStyle w:val="2"/>
        <w:spacing w:line="288" w:lineRule="auto"/>
        <w:ind w:firstLine="0" w:firstLineChars="0"/>
        <w:rPr>
          <w:rFonts w:hint="eastAsia" w:ascii="Times New Roman" w:hAnsi="Times New Roman" w:eastAsia="黑体" w:cs="Times New Roman"/>
          <w:b/>
          <w:kern w:val="44"/>
          <w:sz w:val="32"/>
          <w:szCs w:val="22"/>
          <w:lang w:val="en-US" w:eastAsia="zh-CN" w:bidi="ar-SA"/>
        </w:rPr>
      </w:pPr>
      <w:bookmarkStart w:id="0" w:name="_Toc7361"/>
      <w:bookmarkStart w:id="1" w:name="_Toc14021"/>
      <w:bookmarkStart w:id="2" w:name="_Toc1334"/>
      <w:bookmarkStart w:id="3" w:name="_Toc16066"/>
      <w:bookmarkStart w:id="4" w:name="_Toc30509"/>
      <w:bookmarkStart w:id="5" w:name="_Toc561"/>
      <w:bookmarkStart w:id="6" w:name="_Toc27042"/>
      <w:bookmarkStart w:id="7" w:name="_Toc22727"/>
      <w:bookmarkStart w:id="8" w:name="_Toc21958"/>
      <w:r>
        <w:rPr>
          <w:rFonts w:hint="eastAsia"/>
        </w:rPr>
        <w:t>目 录</w:t>
      </w:r>
      <w:bookmarkEnd w:id="0"/>
      <w:bookmarkEnd w:id="1"/>
      <w:bookmarkEnd w:id="2"/>
      <w:bookmarkEnd w:id="3"/>
      <w:bookmarkEnd w:id="4"/>
      <w:bookmarkEnd w:id="5"/>
      <w:bookmarkEnd w:id="6"/>
      <w:bookmarkEnd w:id="7"/>
      <w:bookmarkEnd w:id="8"/>
      <w:r>
        <w:rPr>
          <w:rFonts w:hint="eastAsia"/>
        </w:rPr>
        <w:fldChar w:fldCharType="begin"/>
      </w:r>
      <w:r>
        <w:rPr>
          <w:rFonts w:hint="eastAsia"/>
        </w:rPr>
        <w:instrText xml:space="preserve">TOC \o "1-3" \h \u </w:instrText>
      </w:r>
      <w:r>
        <w:rPr>
          <w:rFonts w:hint="eastAsia"/>
        </w:rPr>
        <w:fldChar w:fldCharType="separate"/>
      </w:r>
    </w:p>
    <w:p>
      <w:pPr>
        <w:pStyle w:val="11"/>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_Toc21958 </w:instrText>
      </w:r>
      <w:r>
        <w:rPr>
          <w:rFonts w:hint="eastAsia" w:ascii="Times New Roman" w:hAnsi="Times New Roman" w:eastAsia="黑体" w:cs="Times New Roman"/>
          <w:kern w:val="44"/>
          <w:szCs w:val="22"/>
          <w:lang w:val="en-US" w:eastAsia="zh-CN" w:bidi="ar-SA"/>
        </w:rPr>
        <w:fldChar w:fldCharType="separate"/>
      </w:r>
      <w:r>
        <w:rPr>
          <w:rFonts w:hint="eastAsia" w:ascii="Times New Roman" w:hAnsi="Times New Roman" w:eastAsia="黑体" w:cs="Times New Roman"/>
          <w:kern w:val="44"/>
          <w:szCs w:val="22"/>
          <w:lang w:val="en-US" w:eastAsia="zh-CN" w:bidi="ar-SA"/>
        </w:rPr>
        <w:t>目 录</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_Toc21958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3</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_Toc26502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一、 </w:t>
      </w:r>
      <w:r>
        <w:rPr>
          <w:rFonts w:hint="eastAsia" w:ascii="Times New Roman" w:hAnsi="Times New Roman" w:eastAsia="黑体" w:cs="Times New Roman"/>
          <w:kern w:val="44"/>
          <w:szCs w:val="22"/>
          <w:lang w:val="en-US" w:eastAsia="zh-CN" w:bidi="ar-SA"/>
        </w:rPr>
        <w:t>适用范围</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_Toc26502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_Toc13501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二、 </w:t>
      </w:r>
      <w:r>
        <w:rPr>
          <w:rFonts w:hint="eastAsia" w:ascii="Times New Roman" w:hAnsi="Times New Roman" w:eastAsia="黑体" w:cs="Times New Roman"/>
          <w:kern w:val="44"/>
          <w:szCs w:val="22"/>
          <w:lang w:val="en-US" w:eastAsia="zh-CN" w:bidi="ar-SA"/>
        </w:rPr>
        <w:t>事项审查类型</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_Toc13501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_Toc21666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三、 </w:t>
      </w:r>
      <w:r>
        <w:rPr>
          <w:rFonts w:hint="eastAsia" w:ascii="Times New Roman" w:hAnsi="Times New Roman" w:eastAsia="黑体" w:cs="Times New Roman"/>
          <w:kern w:val="44"/>
          <w:szCs w:val="22"/>
          <w:lang w:val="en-US" w:eastAsia="zh-CN" w:bidi="ar-SA"/>
        </w:rPr>
        <w:t>审批依据</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_Toc21666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_Toc29059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四、 </w:t>
      </w:r>
      <w:r>
        <w:rPr>
          <w:rFonts w:hint="eastAsia" w:ascii="Times New Roman" w:hAnsi="Times New Roman" w:eastAsia="黑体" w:cs="Times New Roman"/>
          <w:kern w:val="44"/>
          <w:szCs w:val="22"/>
          <w:lang w:val="en-US" w:eastAsia="zh-CN" w:bidi="ar-SA"/>
        </w:rPr>
        <w:t>受理机构</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_Toc29059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_Toc11172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五、 </w:t>
      </w:r>
      <w:r>
        <w:rPr>
          <w:rFonts w:hint="eastAsia" w:ascii="Times New Roman" w:hAnsi="Times New Roman" w:eastAsia="黑体" w:cs="Times New Roman"/>
          <w:kern w:val="44"/>
          <w:szCs w:val="22"/>
          <w:lang w:val="en-US" w:eastAsia="zh-CN" w:bidi="ar-SA"/>
        </w:rPr>
        <w:t>决定机构</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_Toc11172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_Toc30629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六、 </w:t>
      </w:r>
      <w:r>
        <w:rPr>
          <w:rFonts w:hint="eastAsia" w:ascii="Times New Roman" w:hAnsi="Times New Roman" w:eastAsia="黑体" w:cs="Times New Roman"/>
          <w:kern w:val="44"/>
          <w:szCs w:val="22"/>
          <w:lang w:val="en-US" w:eastAsia="zh-CN" w:bidi="ar-SA"/>
        </w:rPr>
        <w:t>数量限制</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_Toc30629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2</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_Toc24161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七、 </w:t>
      </w:r>
      <w:r>
        <w:rPr>
          <w:rFonts w:hint="eastAsia" w:ascii="Times New Roman" w:hAnsi="Times New Roman" w:eastAsia="黑体" w:cs="Times New Roman"/>
          <w:kern w:val="44"/>
          <w:szCs w:val="22"/>
          <w:lang w:val="en-US" w:eastAsia="zh-CN" w:bidi="ar-SA"/>
        </w:rPr>
        <w:t>申请条件</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_Toc24161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2</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_Toc23586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八、 </w:t>
      </w:r>
      <w:r>
        <w:rPr>
          <w:rFonts w:hint="eastAsia" w:ascii="Times New Roman" w:hAnsi="Times New Roman" w:eastAsia="黑体" w:cs="Times New Roman"/>
          <w:kern w:val="44"/>
          <w:szCs w:val="22"/>
          <w:lang w:val="en-US" w:eastAsia="zh-CN" w:bidi="ar-SA"/>
        </w:rPr>
        <w:t>禁止性要求</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_Toc23586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2</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_Toc22131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九、 </w:t>
      </w:r>
      <w:r>
        <w:rPr>
          <w:rFonts w:hint="eastAsia" w:ascii="Times New Roman" w:hAnsi="Times New Roman" w:eastAsia="黑体" w:cs="Times New Roman"/>
          <w:kern w:val="44"/>
          <w:szCs w:val="22"/>
          <w:lang w:val="en-US" w:eastAsia="zh-CN" w:bidi="ar-SA"/>
        </w:rPr>
        <w:t>申请材料目录</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_Toc22131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3</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_Toc12403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 </w:t>
      </w:r>
      <w:r>
        <w:rPr>
          <w:rFonts w:hint="eastAsia" w:ascii="Times New Roman" w:hAnsi="Times New Roman" w:eastAsia="黑体" w:cs="Times New Roman"/>
          <w:kern w:val="44"/>
          <w:szCs w:val="22"/>
          <w:lang w:val="en-US" w:eastAsia="zh-CN" w:bidi="ar-SA"/>
        </w:rPr>
        <w:t>申请接收</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_Toc12403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3</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_Toc7313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十一、 </w:t>
      </w:r>
      <w:r>
        <w:rPr>
          <w:rFonts w:hint="eastAsia" w:ascii="Times New Roman" w:hAnsi="Times New Roman" w:eastAsia="黑体" w:cs="Times New Roman"/>
          <w:kern w:val="44"/>
          <w:szCs w:val="22"/>
          <w:lang w:val="en-US" w:eastAsia="zh-CN" w:bidi="ar-SA"/>
        </w:rPr>
        <w:t>办理基本流程</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_Toc7313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4</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_Toc11018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十二、 </w:t>
      </w:r>
      <w:r>
        <w:rPr>
          <w:rFonts w:hint="eastAsia" w:ascii="Times New Roman" w:hAnsi="Times New Roman" w:eastAsia="黑体" w:cs="Times New Roman"/>
          <w:kern w:val="44"/>
          <w:szCs w:val="22"/>
          <w:lang w:val="en-US" w:eastAsia="zh-CN" w:bidi="ar-SA"/>
        </w:rPr>
        <w:t>办理方式</w:t>
      </w:r>
      <w:bookmarkStart w:id="43" w:name="_GoBack"/>
      <w:bookmarkEnd w:id="43"/>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_Toc11018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5</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_Toc915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十三、 </w:t>
      </w:r>
      <w:r>
        <w:rPr>
          <w:rFonts w:hint="eastAsia" w:ascii="Times New Roman" w:hAnsi="Times New Roman" w:eastAsia="黑体" w:cs="Times New Roman"/>
          <w:kern w:val="44"/>
          <w:szCs w:val="22"/>
          <w:lang w:val="en-US" w:eastAsia="zh-CN" w:bidi="ar-SA"/>
        </w:rPr>
        <w:t>办理时限</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_Toc915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5</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_Toc14543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十四、 </w:t>
      </w:r>
      <w:r>
        <w:rPr>
          <w:rFonts w:hint="eastAsia" w:ascii="Times New Roman" w:hAnsi="Times New Roman" w:eastAsia="黑体" w:cs="Times New Roman"/>
          <w:kern w:val="44"/>
          <w:szCs w:val="22"/>
          <w:lang w:val="en-US" w:eastAsia="zh-CN" w:bidi="ar-SA"/>
        </w:rPr>
        <w:t>收费标准</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_Toc14543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6</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_Toc15492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十五、 </w:t>
      </w:r>
      <w:r>
        <w:rPr>
          <w:rFonts w:hint="eastAsia" w:ascii="Times New Roman" w:hAnsi="Times New Roman" w:eastAsia="黑体" w:cs="Times New Roman"/>
          <w:kern w:val="44"/>
          <w:szCs w:val="22"/>
          <w:lang w:val="en-US" w:eastAsia="zh-CN" w:bidi="ar-SA"/>
        </w:rPr>
        <w:t>审批结果</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_Toc15492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6</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_Toc26454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十六、 </w:t>
      </w:r>
      <w:r>
        <w:rPr>
          <w:rFonts w:hint="eastAsia" w:ascii="Times New Roman" w:hAnsi="Times New Roman" w:eastAsia="黑体" w:cs="Times New Roman"/>
          <w:kern w:val="44"/>
          <w:szCs w:val="22"/>
          <w:lang w:val="en-US" w:eastAsia="zh-CN" w:bidi="ar-SA"/>
        </w:rPr>
        <w:t>结果送达</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_Toc26454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6</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_Toc9342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十七、 </w:t>
      </w:r>
      <w:r>
        <w:rPr>
          <w:rFonts w:hint="eastAsia" w:ascii="Times New Roman" w:hAnsi="Times New Roman" w:eastAsia="黑体" w:cs="Times New Roman"/>
          <w:kern w:val="44"/>
          <w:szCs w:val="22"/>
          <w:lang w:val="en-US" w:eastAsia="zh-CN" w:bidi="ar-SA"/>
        </w:rPr>
        <w:t>行政相对人权利和义务</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_Toc9342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6</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_Toc21984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十八、 </w:t>
      </w:r>
      <w:r>
        <w:rPr>
          <w:rFonts w:hint="eastAsia" w:ascii="Times New Roman" w:hAnsi="Times New Roman" w:eastAsia="黑体" w:cs="Times New Roman"/>
          <w:kern w:val="44"/>
          <w:szCs w:val="22"/>
          <w:lang w:val="en-US" w:eastAsia="zh-CN" w:bidi="ar-SA"/>
        </w:rPr>
        <w:t>咨询途径</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_Toc21984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7</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_Toc25116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十九、 </w:t>
      </w:r>
      <w:r>
        <w:rPr>
          <w:rFonts w:hint="eastAsia" w:ascii="Times New Roman" w:hAnsi="Times New Roman" w:eastAsia="黑体" w:cs="Times New Roman"/>
          <w:kern w:val="44"/>
          <w:szCs w:val="22"/>
          <w:lang w:val="en-US" w:eastAsia="zh-CN" w:bidi="ar-SA"/>
        </w:rPr>
        <w:t>监督投诉渠道</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_Toc25116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7</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_Toc2928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二十、 </w:t>
      </w:r>
      <w:r>
        <w:rPr>
          <w:rFonts w:hint="eastAsia" w:ascii="Times New Roman" w:hAnsi="Times New Roman" w:eastAsia="黑体" w:cs="Times New Roman"/>
          <w:kern w:val="44"/>
          <w:szCs w:val="22"/>
          <w:lang w:val="en-US" w:eastAsia="zh-CN" w:bidi="ar-SA"/>
        </w:rPr>
        <w:t>办公地址和时间</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_Toc2928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8</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_Toc22472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二十一、 </w:t>
      </w:r>
      <w:r>
        <w:rPr>
          <w:rFonts w:hint="eastAsia" w:ascii="Times New Roman" w:hAnsi="Times New Roman" w:eastAsia="黑体" w:cs="Times New Roman"/>
          <w:kern w:val="44"/>
          <w:szCs w:val="22"/>
          <w:lang w:val="en-US" w:eastAsia="zh-CN" w:bidi="ar-SA"/>
        </w:rPr>
        <w:t>办理进程和结果公开查询</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_Toc22472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8</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1"/>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_Toc17015 </w:instrText>
      </w:r>
      <w:r>
        <w:rPr>
          <w:rFonts w:hint="eastAsia" w:ascii="Times New Roman" w:hAnsi="Times New Roman" w:eastAsia="黑体" w:cs="Times New Roman"/>
          <w:kern w:val="44"/>
          <w:szCs w:val="22"/>
          <w:lang w:val="en-US" w:eastAsia="zh-CN" w:bidi="ar-SA"/>
        </w:rPr>
        <w:fldChar w:fldCharType="separate"/>
      </w:r>
      <w:r>
        <w:rPr>
          <w:rFonts w:hint="eastAsia" w:ascii="Times New Roman" w:hAnsi="Times New Roman" w:eastAsia="黑体" w:cs="Times New Roman"/>
          <w:kern w:val="44"/>
          <w:szCs w:val="22"/>
          <w:lang w:val="en-US" w:eastAsia="zh-CN" w:bidi="ar-SA"/>
        </w:rPr>
        <w:t>附录</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_Toc17015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10</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_Toc22833 </w:instrText>
      </w:r>
      <w:r>
        <w:rPr>
          <w:rFonts w:hint="eastAsia" w:ascii="Times New Roman" w:hAnsi="Times New Roman" w:eastAsia="黑体" w:cs="Times New Roman"/>
          <w:kern w:val="44"/>
          <w:szCs w:val="22"/>
          <w:lang w:val="en-US" w:eastAsia="zh-CN" w:bidi="ar-SA"/>
        </w:rPr>
        <w:fldChar w:fldCharType="separate"/>
      </w:r>
      <w:r>
        <w:rPr>
          <w:rFonts w:hint="eastAsia" w:ascii="Times New Roman" w:hAnsi="Times New Roman" w:eastAsia="黑体" w:cs="Times New Roman"/>
          <w:kern w:val="44"/>
          <w:szCs w:val="22"/>
          <w:lang w:val="en-US" w:eastAsia="zh-CN" w:bidi="ar-SA"/>
        </w:rPr>
        <w:t>附录一：流程图</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_Toc22833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10</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_Toc32481 </w:instrText>
      </w:r>
      <w:r>
        <w:rPr>
          <w:rFonts w:hint="eastAsia" w:ascii="Times New Roman" w:hAnsi="Times New Roman" w:eastAsia="黑体" w:cs="Times New Roman"/>
          <w:kern w:val="44"/>
          <w:szCs w:val="22"/>
          <w:lang w:val="en-US" w:eastAsia="zh-CN" w:bidi="ar-SA"/>
        </w:rPr>
        <w:fldChar w:fldCharType="separate"/>
      </w:r>
      <w:r>
        <w:rPr>
          <w:rFonts w:hint="eastAsia" w:ascii="Times New Roman" w:hAnsi="Times New Roman" w:eastAsia="黑体" w:cs="Times New Roman"/>
          <w:kern w:val="44"/>
          <w:szCs w:val="22"/>
          <w:lang w:val="en-US" w:eastAsia="zh-CN" w:bidi="ar-SA"/>
        </w:rPr>
        <w:t>附录二：示范文本</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_Toc32481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11</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_Toc17830 </w:instrText>
      </w:r>
      <w:r>
        <w:rPr>
          <w:rFonts w:hint="eastAsia" w:ascii="Times New Roman" w:hAnsi="Times New Roman" w:eastAsia="黑体" w:cs="Times New Roman"/>
          <w:kern w:val="44"/>
          <w:szCs w:val="22"/>
          <w:lang w:val="en-US" w:eastAsia="zh-CN" w:bidi="ar-SA"/>
        </w:rPr>
        <w:fldChar w:fldCharType="separate"/>
      </w:r>
      <w:r>
        <w:rPr>
          <w:rFonts w:hint="eastAsia" w:ascii="Times New Roman" w:hAnsi="Times New Roman" w:eastAsia="黑体" w:cs="Times New Roman"/>
          <w:kern w:val="44"/>
          <w:szCs w:val="22"/>
          <w:lang w:val="en-US" w:eastAsia="zh-CN" w:bidi="ar-SA"/>
        </w:rPr>
        <w:t>附录三：常见错误示例</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_Toc17830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11</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_Toc10634 </w:instrText>
      </w:r>
      <w:r>
        <w:rPr>
          <w:rFonts w:hint="eastAsia" w:ascii="Times New Roman" w:hAnsi="Times New Roman" w:eastAsia="黑体" w:cs="Times New Roman"/>
          <w:kern w:val="44"/>
          <w:szCs w:val="22"/>
          <w:lang w:val="en-US" w:eastAsia="zh-CN" w:bidi="ar-SA"/>
        </w:rPr>
        <w:fldChar w:fldCharType="separate"/>
      </w:r>
      <w:r>
        <w:rPr>
          <w:rFonts w:hint="eastAsia" w:ascii="Times New Roman" w:hAnsi="Times New Roman" w:eastAsia="黑体" w:cs="Times New Roman"/>
          <w:kern w:val="44"/>
          <w:szCs w:val="22"/>
          <w:lang w:val="en-US" w:eastAsia="zh-CN" w:bidi="ar-SA"/>
        </w:rPr>
        <w:t>附录四：常见问题解答</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_Toc10634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12</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2"/>
        <w:spacing w:line="288" w:lineRule="auto"/>
        <w:ind w:firstLine="643" w:firstLineChars="0"/>
        <w:sectPr>
          <w:headerReference r:id="rId10" w:type="default"/>
          <w:footerReference r:id="rId11" w:type="default"/>
          <w:pgSz w:w="11906" w:h="16838"/>
          <w:pgMar w:top="1440" w:right="1800" w:bottom="1440" w:left="1800" w:header="851" w:footer="992" w:gutter="0"/>
          <w:cols w:space="720" w:num="1"/>
          <w:docGrid w:type="lines" w:linePitch="312" w:charSpace="0"/>
        </w:sectPr>
      </w:pPr>
      <w:r>
        <w:rPr>
          <w:rFonts w:hint="eastAsia"/>
        </w:rPr>
        <w:fldChar w:fldCharType="end"/>
      </w:r>
    </w:p>
    <w:p>
      <w:pPr>
        <w:jc w:val="center"/>
        <w:rPr>
          <w:rFonts w:hint="eastAsia" w:ascii="黑体" w:hAnsi="黑体" w:eastAsia="黑体" w:cs="黑体"/>
          <w:b/>
          <w:bCs/>
          <w:sz w:val="32"/>
          <w:szCs w:val="32"/>
        </w:rPr>
      </w:pPr>
      <w:bookmarkStart w:id="9" w:name="_Toc9395"/>
      <w:bookmarkStart w:id="10" w:name="_Toc12611"/>
      <w:bookmarkStart w:id="11" w:name="_Toc23357"/>
      <w:bookmarkStart w:id="12" w:name="_Toc2929"/>
      <w:bookmarkStart w:id="13" w:name="_Toc8738"/>
      <w:bookmarkStart w:id="14" w:name="_Toc729"/>
      <w:bookmarkStart w:id="15" w:name="_Toc21156"/>
      <w:r>
        <w:rPr>
          <w:rFonts w:hint="eastAsia" w:ascii="黑体" w:hAnsi="黑体" w:eastAsia="黑体" w:cs="黑体"/>
          <w:b/>
          <w:bCs/>
          <w:sz w:val="32"/>
          <w:szCs w:val="32"/>
        </w:rPr>
        <w:t>全国性信息网络工程或者国家规定限额以上建设项目的公用电信网、专用电信网、广播电视</w:t>
      </w:r>
    </w:p>
    <w:p>
      <w:pPr>
        <w:jc w:val="center"/>
        <w:rPr>
          <w:rFonts w:hint="eastAsia" w:ascii="黑体" w:hAnsi="黑体" w:eastAsia="黑体" w:cs="黑体"/>
          <w:b/>
          <w:bCs/>
          <w:sz w:val="32"/>
          <w:szCs w:val="32"/>
        </w:rPr>
      </w:pPr>
      <w:r>
        <w:rPr>
          <w:rFonts w:hint="eastAsia" w:ascii="黑体" w:hAnsi="黑体" w:eastAsia="黑体" w:cs="黑体"/>
          <w:b/>
          <w:bCs/>
          <w:sz w:val="32"/>
          <w:szCs w:val="32"/>
        </w:rPr>
        <w:t>传输网建设审核服务指南</w:t>
      </w:r>
      <w:bookmarkEnd w:id="9"/>
      <w:bookmarkEnd w:id="10"/>
      <w:bookmarkEnd w:id="11"/>
      <w:bookmarkEnd w:id="12"/>
      <w:bookmarkEnd w:id="13"/>
      <w:bookmarkEnd w:id="14"/>
      <w:bookmarkEnd w:id="15"/>
    </w:p>
    <w:p>
      <w:pPr>
        <w:pStyle w:val="3"/>
        <w:numPr>
          <w:ilvl w:val="0"/>
          <w:numId w:val="4"/>
        </w:numPr>
        <w:spacing w:before="156"/>
        <w:ind w:firstLine="562"/>
      </w:pPr>
      <w:bookmarkStart w:id="16" w:name="_Toc26502"/>
      <w:r>
        <w:rPr>
          <w:rFonts w:hint="eastAsia"/>
        </w:rPr>
        <w:t>适用范围</w:t>
      </w:r>
      <w:bookmarkEnd w:id="16"/>
    </w:p>
    <w:p>
      <w:pPr>
        <w:rPr>
          <w:rFonts w:hint="default"/>
        </w:rPr>
      </w:pPr>
      <w:r>
        <w:rPr>
          <w:rFonts w:hint="default"/>
        </w:rPr>
        <w:t>本服务指南规定了全国性信息网络工程或者国家规定限额以上建设项目的公用电信网、专用电信网、广播电视传输网建设项目行政许可的申请和办理要求，从而便于申请人提前了解事项的办理流程等。</w:t>
      </w:r>
    </w:p>
    <w:p>
      <w:pPr>
        <w:rPr>
          <w:rFonts w:hint="default"/>
        </w:rPr>
      </w:pPr>
      <w:r>
        <w:rPr>
          <w:rFonts w:hint="default"/>
        </w:rPr>
        <w:t>本服务指南</w:t>
      </w:r>
      <w:r>
        <w:rPr>
          <w:rFonts w:hint="eastAsia"/>
        </w:rPr>
        <w:t>适用于</w:t>
      </w:r>
      <w:r>
        <w:rPr>
          <w:rFonts w:hint="default"/>
        </w:rPr>
        <w:t>全国性信息网络工程或者国家规定限额以上建设项目的公用电信网、专用电信网、广播电视传输网建设项目行政许可申请人和受理人参考。</w:t>
      </w:r>
    </w:p>
    <w:p>
      <w:r>
        <w:rPr>
          <w:rFonts w:hint="default"/>
        </w:rPr>
        <w:t>本行政许可申请人为</w:t>
      </w:r>
      <w:r>
        <w:rPr>
          <w:rFonts w:hint="eastAsia"/>
        </w:rPr>
        <w:t>有基础电信业务经营许可的电信运营企业</w:t>
      </w:r>
      <w:r>
        <w:rPr>
          <w:rFonts w:hint="eastAsia"/>
          <w:lang w:eastAsia="zh-CN"/>
        </w:rPr>
        <w:t>、</w:t>
      </w:r>
      <w:r>
        <w:rPr>
          <w:rFonts w:hint="eastAsia"/>
        </w:rPr>
        <w:t>专用电信网建设企业</w:t>
      </w:r>
      <w:r>
        <w:rPr>
          <w:rFonts w:hint="eastAsia"/>
          <w:lang w:eastAsia="zh-CN"/>
        </w:rPr>
        <w:t>、</w:t>
      </w:r>
      <w:r>
        <w:rPr>
          <w:rFonts w:hint="eastAsia"/>
        </w:rPr>
        <w:t>广播电视传输网建设企业。</w:t>
      </w:r>
    </w:p>
    <w:p>
      <w:pPr>
        <w:pStyle w:val="3"/>
        <w:numPr>
          <w:ilvl w:val="0"/>
          <w:numId w:val="4"/>
        </w:numPr>
        <w:spacing w:before="156"/>
        <w:ind w:firstLine="562"/>
      </w:pPr>
      <w:bookmarkStart w:id="17" w:name="_Toc13501"/>
      <w:r>
        <w:rPr>
          <w:rFonts w:hint="eastAsia"/>
        </w:rPr>
        <w:t>事项审查类型</w:t>
      </w:r>
      <w:bookmarkEnd w:id="17"/>
    </w:p>
    <w:p>
      <w:r>
        <w:rPr>
          <w:rFonts w:hint="eastAsia"/>
        </w:rPr>
        <w:t>该事项的审查类型是：前审后批型。</w:t>
      </w:r>
    </w:p>
    <w:p>
      <w:pPr>
        <w:pStyle w:val="3"/>
        <w:numPr>
          <w:ilvl w:val="0"/>
          <w:numId w:val="4"/>
        </w:numPr>
        <w:spacing w:before="156"/>
        <w:ind w:firstLine="562"/>
      </w:pPr>
      <w:bookmarkStart w:id="18" w:name="_Toc21666"/>
      <w:r>
        <w:rPr>
          <w:rFonts w:hint="eastAsia"/>
        </w:rPr>
        <w:t>审批依据</w:t>
      </w:r>
      <w:bookmarkEnd w:id="18"/>
    </w:p>
    <w:p>
      <w:r>
        <w:rPr>
          <w:rFonts w:hint="eastAsia"/>
          <w:lang w:eastAsia="zh-CN"/>
        </w:rPr>
        <w:t>《中华人民共和国电信条例》（2016</w:t>
      </w:r>
      <w:r>
        <w:rPr>
          <w:rFonts w:hint="default"/>
          <w:lang w:eastAsia="zh-CN"/>
        </w:rPr>
        <w:t>年</w:t>
      </w:r>
      <w:r>
        <w:rPr>
          <w:rFonts w:hint="eastAsia"/>
          <w:lang w:eastAsia="zh-CN"/>
        </w:rPr>
        <w:t>修订）第四十四条</w:t>
      </w:r>
      <w:r>
        <w:rPr>
          <w:rFonts w:hint="eastAsia"/>
        </w:rPr>
        <w:t>。</w:t>
      </w:r>
    </w:p>
    <w:p>
      <w:pPr>
        <w:pStyle w:val="3"/>
        <w:numPr>
          <w:ilvl w:val="0"/>
          <w:numId w:val="4"/>
        </w:numPr>
        <w:spacing w:before="156"/>
        <w:ind w:firstLine="562"/>
      </w:pPr>
      <w:bookmarkStart w:id="19" w:name="_Toc29059"/>
      <w:r>
        <w:rPr>
          <w:rFonts w:hint="eastAsia"/>
        </w:rPr>
        <w:t>受理机构</w:t>
      </w:r>
      <w:bookmarkEnd w:id="19"/>
    </w:p>
    <w:p>
      <w:r>
        <w:rPr>
          <w:rFonts w:hint="eastAsia"/>
        </w:rPr>
        <w:t>工业和信息化部</w:t>
      </w:r>
      <w:r>
        <w:rPr>
          <w:rFonts w:hint="eastAsia"/>
          <w:lang w:eastAsia="zh-CN"/>
        </w:rPr>
        <w:t>规划司</w:t>
      </w:r>
    </w:p>
    <w:p>
      <w:pPr>
        <w:pStyle w:val="3"/>
        <w:numPr>
          <w:ilvl w:val="0"/>
          <w:numId w:val="4"/>
        </w:numPr>
        <w:spacing w:before="156"/>
        <w:ind w:firstLine="562"/>
      </w:pPr>
      <w:bookmarkStart w:id="20" w:name="_Toc11172"/>
      <w:r>
        <w:rPr>
          <w:rFonts w:hint="eastAsia"/>
        </w:rPr>
        <w:t>决定机构</w:t>
      </w:r>
      <w:bookmarkEnd w:id="20"/>
    </w:p>
    <w:p>
      <w:r>
        <w:rPr>
          <w:rFonts w:hint="eastAsia"/>
        </w:rPr>
        <w:t>工业和信息化部</w:t>
      </w:r>
    </w:p>
    <w:p>
      <w:pPr>
        <w:pStyle w:val="3"/>
        <w:numPr>
          <w:ilvl w:val="0"/>
          <w:numId w:val="4"/>
        </w:numPr>
        <w:spacing w:before="156"/>
        <w:ind w:firstLine="562"/>
      </w:pPr>
      <w:bookmarkStart w:id="21" w:name="_Toc30629"/>
      <w:r>
        <w:rPr>
          <w:rFonts w:hint="eastAsia"/>
        </w:rPr>
        <w:t>数量限制</w:t>
      </w:r>
      <w:bookmarkEnd w:id="21"/>
    </w:p>
    <w:p>
      <w:pPr>
        <w:rPr>
          <w:rFonts w:hint="default"/>
        </w:rPr>
      </w:pPr>
      <w:r>
        <w:rPr>
          <w:rFonts w:hint="eastAsia"/>
        </w:rPr>
        <w:t>本</w:t>
      </w:r>
      <w:r>
        <w:rPr>
          <w:rFonts w:hint="eastAsia"/>
          <w:lang w:eastAsia="zh-CN"/>
        </w:rPr>
        <w:t>行政许可</w:t>
      </w:r>
      <w:r>
        <w:rPr>
          <w:rFonts w:hint="eastAsia"/>
        </w:rPr>
        <w:t>事项无数量限制</w:t>
      </w:r>
      <w:r>
        <w:rPr>
          <w:rFonts w:hint="default"/>
        </w:rPr>
        <w:t>。</w:t>
      </w:r>
    </w:p>
    <w:p>
      <w:pPr>
        <w:pStyle w:val="3"/>
        <w:numPr>
          <w:ilvl w:val="0"/>
          <w:numId w:val="4"/>
        </w:numPr>
        <w:spacing w:before="156"/>
        <w:ind w:firstLine="562"/>
        <w:rPr>
          <w:rFonts w:hint="eastAsia"/>
        </w:rPr>
      </w:pPr>
      <w:bookmarkStart w:id="22" w:name="_Toc24161"/>
      <w:r>
        <w:rPr>
          <w:rFonts w:hint="eastAsia"/>
        </w:rPr>
        <w:t>申请条件</w:t>
      </w:r>
      <w:bookmarkEnd w:id="22"/>
    </w:p>
    <w:p>
      <w:pPr>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本行政许可适用于：</w:t>
      </w:r>
    </w:p>
    <w:p>
      <w:pPr>
        <w:numPr>
          <w:ilvl w:val="0"/>
          <w:numId w:val="5"/>
        </w:numPr>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有基础电信业务经营许可的电信运营企业</w:t>
      </w:r>
    </w:p>
    <w:p>
      <w:pPr>
        <w:numPr>
          <w:ilvl w:val="0"/>
          <w:numId w:val="5"/>
        </w:numPr>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专用电信网建设企业</w:t>
      </w:r>
    </w:p>
    <w:p>
      <w:pPr>
        <w:numPr>
          <w:ilvl w:val="0"/>
          <w:numId w:val="5"/>
        </w:numPr>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广播电视传输网建设企业</w:t>
      </w:r>
    </w:p>
    <w:p>
      <w:pPr>
        <w:keepNext/>
        <w:keepLines/>
        <w:widowControl w:val="0"/>
        <w:numPr>
          <w:numId w:val="0"/>
        </w:numPr>
        <w:wordWrap/>
        <w:adjustRightInd/>
        <w:snapToGrid/>
        <w:spacing w:before="157" w:beforeLines="50" w:line="288" w:lineRule="auto"/>
        <w:ind w:left="0" w:leftChars="0" w:right="0" w:firstLine="560" w:firstLineChars="200"/>
        <w:jc w:val="left"/>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上述企业投资建设全国性信息网络工程（含国内跨省一级干线传输网、国际通信基础设施）以及限额以上的专用电信网、广播电视网等项目须按本行政许可履行审查手续。  　</w:t>
      </w:r>
    </w:p>
    <w:p>
      <w:pPr>
        <w:keepNext/>
        <w:keepLines/>
        <w:widowControl w:val="0"/>
        <w:numPr>
          <w:numId w:val="0"/>
        </w:numPr>
        <w:wordWrap/>
        <w:adjustRightInd/>
        <w:snapToGrid/>
        <w:spacing w:before="157" w:beforeLines="50" w:line="288" w:lineRule="auto"/>
        <w:ind w:left="0" w:leftChars="0" w:right="0" w:firstLine="560" w:firstLineChars="200"/>
        <w:jc w:val="left"/>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 xml:space="preserve">申请条件包括： </w:t>
      </w:r>
    </w:p>
    <w:p>
      <w:pPr>
        <w:keepNext/>
        <w:keepLines/>
        <w:widowControl w:val="0"/>
        <w:numPr>
          <w:numId w:val="0"/>
        </w:numPr>
        <w:wordWrap/>
        <w:adjustRightInd/>
        <w:snapToGrid/>
        <w:spacing w:before="157" w:beforeLines="50" w:line="288" w:lineRule="auto"/>
        <w:ind w:left="0" w:leftChars="0" w:right="0" w:firstLine="560" w:firstLineChars="200"/>
        <w:jc w:val="left"/>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（一）获得基础电信业务经营许可</w:t>
      </w:r>
      <w:r>
        <w:rPr>
          <w:rFonts w:hint="default" w:cs="Times New Roman"/>
          <w:b w:val="0"/>
          <w:kern w:val="2"/>
          <w:sz w:val="28"/>
          <w:szCs w:val="22"/>
          <w:lang w:eastAsia="zh-CN" w:bidi="ar-SA"/>
        </w:rPr>
        <w:t>（</w:t>
      </w:r>
      <w:r>
        <w:rPr>
          <w:rFonts w:hint="default" w:ascii="Times New Roman" w:hAnsi="Times New Roman" w:eastAsia="华文仿宋" w:cs="Times New Roman"/>
          <w:b w:val="0"/>
          <w:kern w:val="2"/>
          <w:sz w:val="28"/>
          <w:szCs w:val="22"/>
          <w:lang w:val="en-US" w:eastAsia="zh-CN" w:bidi="ar-SA"/>
        </w:rPr>
        <w:t>限公用电信网）</w:t>
      </w:r>
      <w:r>
        <w:rPr>
          <w:rFonts w:hint="eastAsia" w:ascii="Times New Roman" w:hAnsi="Times New Roman" w:eastAsia="华文仿宋" w:cs="Times New Roman"/>
          <w:b w:val="0"/>
          <w:kern w:val="2"/>
          <w:sz w:val="28"/>
          <w:szCs w:val="22"/>
          <w:lang w:val="en-US" w:eastAsia="zh-CN" w:bidi="ar-SA"/>
        </w:rPr>
        <w:t>；</w:t>
      </w:r>
    </w:p>
    <w:p>
      <w:pPr>
        <w:keepNext/>
        <w:keepLines/>
        <w:widowControl w:val="0"/>
        <w:numPr>
          <w:numId w:val="0"/>
        </w:numPr>
        <w:wordWrap/>
        <w:adjustRightInd/>
        <w:snapToGrid/>
        <w:spacing w:before="157" w:beforeLines="50" w:line="288" w:lineRule="auto"/>
        <w:ind w:left="0" w:leftChars="0" w:right="0" w:firstLine="560" w:firstLineChars="200"/>
        <w:jc w:val="left"/>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（二）国家法律法规；</w:t>
      </w:r>
    </w:p>
    <w:p>
      <w:pPr>
        <w:keepNext/>
        <w:keepLines/>
        <w:widowControl w:val="0"/>
        <w:numPr>
          <w:numId w:val="0"/>
        </w:numPr>
        <w:wordWrap/>
        <w:adjustRightInd/>
        <w:snapToGrid/>
        <w:spacing w:before="157" w:beforeLines="50" w:line="288" w:lineRule="auto"/>
        <w:ind w:left="0" w:leftChars="0" w:right="0" w:firstLine="560" w:firstLineChars="200"/>
        <w:jc w:val="left"/>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（三）行业发展规划、产业政策、技术政策和准入标准；</w:t>
      </w:r>
    </w:p>
    <w:p>
      <w:pPr>
        <w:keepNext/>
        <w:keepLines/>
        <w:widowControl w:val="0"/>
        <w:numPr>
          <w:numId w:val="0"/>
        </w:numPr>
        <w:wordWrap/>
        <w:adjustRightInd/>
        <w:snapToGrid/>
        <w:spacing w:before="157" w:beforeLines="50" w:line="288" w:lineRule="auto"/>
        <w:ind w:left="0" w:leftChars="0" w:right="0" w:firstLine="560" w:firstLineChars="200"/>
        <w:jc w:val="left"/>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（四）国家宏观调控政策；</w:t>
      </w:r>
    </w:p>
    <w:p>
      <w:pPr>
        <w:keepNext/>
        <w:keepLines/>
        <w:widowControl w:val="0"/>
        <w:numPr>
          <w:numId w:val="0"/>
        </w:numPr>
        <w:wordWrap/>
        <w:adjustRightInd/>
        <w:snapToGrid/>
        <w:spacing w:before="157" w:beforeLines="50" w:line="288" w:lineRule="auto"/>
        <w:ind w:left="0" w:leftChars="0" w:right="0" w:firstLine="560" w:firstLineChars="200"/>
        <w:jc w:val="left"/>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（五）是否影响国家安全、经济安全和生态安全；　</w:t>
      </w:r>
    </w:p>
    <w:p>
      <w:pPr>
        <w:keepNext/>
        <w:keepLines/>
        <w:widowControl w:val="0"/>
        <w:numPr>
          <w:numId w:val="0"/>
        </w:numPr>
        <w:wordWrap/>
        <w:adjustRightInd/>
        <w:snapToGrid/>
        <w:spacing w:before="157" w:beforeLines="50" w:line="288" w:lineRule="auto"/>
        <w:ind w:left="0" w:leftChars="0" w:right="0" w:firstLine="560" w:firstLineChars="200"/>
        <w:jc w:val="left"/>
        <w:textAlignment w:val="auto"/>
        <w:outlineLvl w:val="9"/>
      </w:pPr>
      <w:r>
        <w:rPr>
          <w:rFonts w:hint="eastAsia" w:ascii="Times New Roman" w:hAnsi="Times New Roman" w:eastAsia="华文仿宋" w:cs="Times New Roman"/>
          <w:b w:val="0"/>
          <w:kern w:val="2"/>
          <w:sz w:val="28"/>
          <w:szCs w:val="22"/>
          <w:lang w:val="en-US" w:eastAsia="zh-CN" w:bidi="ar-SA"/>
        </w:rPr>
        <w:t>（六）是否对公众利益，特别是项目建设地的公众利益产生重大不利影响。</w:t>
      </w:r>
    </w:p>
    <w:p>
      <w:pPr>
        <w:pStyle w:val="3"/>
        <w:numPr>
          <w:ilvl w:val="0"/>
          <w:numId w:val="4"/>
        </w:numPr>
        <w:spacing w:before="156"/>
        <w:ind w:firstLine="562"/>
      </w:pPr>
      <w:bookmarkStart w:id="23" w:name="_Toc23586"/>
      <w:r>
        <w:rPr>
          <w:rFonts w:hint="eastAsia"/>
        </w:rPr>
        <w:t>禁止性要求</w:t>
      </w:r>
      <w:bookmarkEnd w:id="23"/>
    </w:p>
    <w:p>
      <w:pPr>
        <w:rPr>
          <w:color w:val="000000"/>
        </w:rPr>
      </w:pPr>
      <w:r>
        <w:rPr>
          <w:rFonts w:hint="eastAsia"/>
          <w:color w:val="000000"/>
        </w:rPr>
        <w:t>遇有如下情况，可不予接受企业的申请材料：</w:t>
      </w:r>
    </w:p>
    <w:p>
      <w:pPr>
        <w:widowControl w:val="0"/>
        <w:numPr>
          <w:ilvl w:val="0"/>
          <w:numId w:val="6"/>
        </w:numPr>
        <w:wordWrap/>
        <w:adjustRightInd/>
        <w:snapToGrid/>
        <w:spacing w:line="288" w:lineRule="auto"/>
        <w:ind w:left="560" w:leftChars="200" w:right="0" w:firstLine="0" w:firstLineChars="0"/>
        <w:jc w:val="both"/>
        <w:textAlignment w:val="auto"/>
        <w:outlineLvl w:val="9"/>
        <w:rPr>
          <w:rFonts w:hint="eastAsia"/>
          <w:lang w:eastAsia="zh-CN"/>
        </w:rPr>
      </w:pPr>
      <w:r>
        <w:rPr>
          <w:rFonts w:hint="eastAsia"/>
          <w:lang w:eastAsia="zh-CN"/>
        </w:rPr>
        <w:t>业务种类：不属于全国性信息网络工程或者国家规定限额以上建设项目的公用电信网、专用电信网、广播电视传输网建设范畴</w:t>
      </w:r>
    </w:p>
    <w:p>
      <w:pPr>
        <w:widowControl w:val="0"/>
        <w:numPr>
          <w:ilvl w:val="0"/>
          <w:numId w:val="6"/>
        </w:numPr>
        <w:wordWrap/>
        <w:adjustRightInd/>
        <w:snapToGrid/>
        <w:spacing w:line="288" w:lineRule="auto"/>
        <w:ind w:left="560" w:leftChars="200" w:right="0" w:firstLine="0" w:firstLineChars="0"/>
        <w:jc w:val="both"/>
        <w:textAlignment w:val="auto"/>
        <w:outlineLvl w:val="9"/>
      </w:pPr>
      <w:r>
        <w:rPr>
          <w:rFonts w:hint="eastAsia"/>
        </w:rPr>
        <w:t>申请企业：</w:t>
      </w:r>
      <w:r>
        <w:rPr>
          <w:rFonts w:hint="eastAsia"/>
          <w:lang w:eastAsia="zh-CN"/>
        </w:rPr>
        <w:t>未</w:t>
      </w:r>
      <w:r>
        <w:rPr>
          <w:rFonts w:hint="eastAsia"/>
        </w:rPr>
        <w:t>获得基础电信业务经营许可</w:t>
      </w:r>
      <w:r>
        <w:rPr>
          <w:rFonts w:hint="default"/>
        </w:rPr>
        <w:t>申请建设公用电信网</w:t>
      </w:r>
      <w:r>
        <w:rPr>
          <w:rFonts w:hint="eastAsia"/>
          <w:lang w:eastAsia="zh-CN"/>
        </w:rPr>
        <w:t>的企业。</w:t>
      </w:r>
    </w:p>
    <w:p>
      <w:pPr>
        <w:pStyle w:val="3"/>
        <w:numPr>
          <w:ilvl w:val="0"/>
          <w:numId w:val="4"/>
        </w:numPr>
        <w:spacing w:before="156"/>
        <w:ind w:firstLine="562"/>
      </w:pPr>
      <w:bookmarkStart w:id="24" w:name="_Toc22131"/>
      <w:r>
        <w:rPr>
          <w:rFonts w:hint="eastAsia"/>
        </w:rPr>
        <w:t>申请材料目录</w:t>
      </w:r>
      <w:bookmarkEnd w:id="24"/>
    </w:p>
    <w:p>
      <w:pPr>
        <w:rPr>
          <w:rFonts w:hint="eastAsia"/>
          <w:color w:val="000000"/>
        </w:rPr>
      </w:pPr>
      <w:r>
        <w:rPr>
          <w:rFonts w:hint="eastAsia"/>
          <w:color w:val="000000"/>
        </w:rPr>
        <w:t xml:space="preserve">（一）以传输网滚动专题规划形式申请审核的，应提交下列材料（含电子文档）：  </w:t>
      </w:r>
    </w:p>
    <w:p>
      <w:pPr>
        <w:rPr>
          <w:rFonts w:hint="eastAsia"/>
          <w:color w:val="000000"/>
        </w:rPr>
      </w:pPr>
      <w:r>
        <w:rPr>
          <w:rFonts w:hint="eastAsia"/>
          <w:color w:val="000000"/>
        </w:rPr>
        <w:t xml:space="preserve">1、项目申报单位情况；                  </w:t>
      </w:r>
    </w:p>
    <w:p>
      <w:pPr>
        <w:ind w:left="0" w:leftChars="0" w:firstLine="0" w:firstLineChars="0"/>
        <w:rPr>
          <w:rFonts w:hint="eastAsia"/>
          <w:color w:val="000000"/>
        </w:rPr>
      </w:pPr>
      <w:r>
        <w:rPr>
          <w:rFonts w:hint="eastAsia"/>
          <w:color w:val="000000"/>
          <w:lang w:val="en-US" w:eastAsia="zh-CN"/>
        </w:rPr>
        <w:t xml:space="preserve">  </w:t>
      </w:r>
      <w:r>
        <w:rPr>
          <w:rFonts w:hint="eastAsia"/>
          <w:color w:val="000000"/>
        </w:rPr>
        <w:t xml:space="preserve">　2、申请人传输网现状（包括路由图、上一年度传输网建设项目完成情况）；    </w:t>
      </w:r>
    </w:p>
    <w:p>
      <w:pPr>
        <w:rPr>
          <w:rFonts w:hint="eastAsia"/>
          <w:color w:val="000000"/>
        </w:rPr>
      </w:pPr>
      <w:r>
        <w:rPr>
          <w:rFonts w:hint="eastAsia"/>
          <w:color w:val="000000"/>
        </w:rPr>
        <w:t xml:space="preserve">3、本年度传输网项目建设计划（含路由、距离、容量、投资以及资金来源等）； </w:t>
      </w:r>
    </w:p>
    <w:p>
      <w:pPr>
        <w:rPr>
          <w:rFonts w:hint="eastAsia"/>
          <w:color w:val="000000"/>
        </w:rPr>
      </w:pPr>
      <w:r>
        <w:rPr>
          <w:rFonts w:hint="eastAsia"/>
          <w:color w:val="000000"/>
        </w:rPr>
        <w:t xml:space="preserve">4、本年度传输网建设路由图； </w:t>
      </w:r>
    </w:p>
    <w:p>
      <w:pPr>
        <w:rPr>
          <w:rFonts w:hint="eastAsia"/>
          <w:color w:val="000000"/>
        </w:rPr>
      </w:pPr>
      <w:r>
        <w:rPr>
          <w:rFonts w:hint="eastAsia"/>
          <w:color w:val="000000"/>
        </w:rPr>
        <w:t>5、滚动规划期末传输网发展思路、目标及建设项目框架。</w:t>
      </w:r>
    </w:p>
    <w:p>
      <w:pPr>
        <w:rPr>
          <w:rFonts w:hint="eastAsia"/>
          <w:color w:val="000000"/>
        </w:rPr>
      </w:pPr>
      <w:r>
        <w:rPr>
          <w:rFonts w:hint="eastAsia"/>
          <w:color w:val="000000"/>
        </w:rPr>
        <w:t>（二）未纳入传输网滚动专题规划的项目，应提交：</w:t>
      </w:r>
    </w:p>
    <w:p>
      <w:pPr>
        <w:rPr>
          <w:rFonts w:hint="eastAsia"/>
          <w:color w:val="000000"/>
        </w:rPr>
      </w:pPr>
      <w:r>
        <w:rPr>
          <w:rFonts w:hint="eastAsia"/>
          <w:color w:val="000000"/>
        </w:rPr>
        <w:t>1、基础电信业务经营许可证</w:t>
      </w:r>
      <w:r>
        <w:rPr>
          <w:rFonts w:hint="default" w:cs="Times New Roman"/>
          <w:b w:val="0"/>
          <w:kern w:val="2"/>
          <w:sz w:val="28"/>
          <w:szCs w:val="22"/>
          <w:lang w:eastAsia="zh-CN" w:bidi="ar-SA"/>
        </w:rPr>
        <w:t>（限公用电信网）</w:t>
      </w:r>
      <w:r>
        <w:rPr>
          <w:rFonts w:hint="eastAsia"/>
          <w:color w:val="000000"/>
        </w:rPr>
        <w:t xml:space="preserve">； </w:t>
      </w:r>
    </w:p>
    <w:p>
      <w:pPr>
        <w:rPr>
          <w:rFonts w:hint="eastAsia"/>
          <w:color w:val="000000"/>
        </w:rPr>
      </w:pPr>
      <w:r>
        <w:rPr>
          <w:rFonts w:hint="eastAsia"/>
          <w:color w:val="000000"/>
        </w:rPr>
        <w:t>2、项目申报单位情况；</w:t>
      </w:r>
    </w:p>
    <w:p>
      <w:pPr>
        <w:rPr>
          <w:rFonts w:hint="eastAsia"/>
          <w:color w:val="000000"/>
        </w:rPr>
      </w:pPr>
      <w:r>
        <w:rPr>
          <w:rFonts w:hint="eastAsia"/>
          <w:color w:val="000000"/>
        </w:rPr>
        <w:t>3、项目</w:t>
      </w:r>
      <w:r>
        <w:rPr>
          <w:rFonts w:hint="default"/>
          <w:color w:val="000000"/>
        </w:rPr>
        <w:t>申请报告（可以用</w:t>
      </w:r>
      <w:r>
        <w:rPr>
          <w:rFonts w:hint="eastAsia"/>
          <w:color w:val="000000"/>
        </w:rPr>
        <w:t>可行性研究报告</w:t>
      </w:r>
      <w:r>
        <w:rPr>
          <w:rFonts w:hint="default"/>
          <w:color w:val="000000"/>
        </w:rPr>
        <w:t>代替）</w:t>
      </w:r>
      <w:r>
        <w:rPr>
          <w:rFonts w:hint="eastAsia"/>
          <w:color w:val="000000"/>
        </w:rPr>
        <w:t>。</w:t>
      </w:r>
    </w:p>
    <w:p>
      <w:r>
        <w:rPr>
          <w:rFonts w:hint="eastAsia"/>
          <w:color w:val="000000"/>
        </w:rPr>
        <w:t>此外，应附送有关法律法规的规定的其他文件。</w:t>
      </w:r>
    </w:p>
    <w:p>
      <w:pPr>
        <w:pStyle w:val="3"/>
        <w:numPr>
          <w:ilvl w:val="0"/>
          <w:numId w:val="4"/>
        </w:numPr>
        <w:spacing w:before="156"/>
        <w:ind w:firstLine="562"/>
      </w:pPr>
      <w:bookmarkStart w:id="25" w:name="_Toc12403"/>
      <w:r>
        <w:rPr>
          <w:rFonts w:hint="eastAsia"/>
        </w:rPr>
        <w:t>申请接收</w:t>
      </w:r>
      <w:bookmarkEnd w:id="25"/>
    </w:p>
    <w:p>
      <w:pPr>
        <w:numPr>
          <w:numId w:val="0"/>
        </w:numPr>
        <w:ind w:firstLine="560"/>
        <w:rPr>
          <w:rFonts w:hint="eastAsia"/>
          <w:lang w:val="en-US" w:eastAsia="zh-CN"/>
        </w:rPr>
      </w:pPr>
      <w:r>
        <w:rPr>
          <w:rFonts w:hint="eastAsia"/>
        </w:rPr>
        <w:t>企业</w:t>
      </w:r>
      <w:r>
        <w:rPr>
          <w:rFonts w:hint="eastAsia"/>
          <w:lang w:eastAsia="zh-CN"/>
        </w:rPr>
        <w:t>将申请文件交换或送至我部</w:t>
      </w:r>
      <w:r>
        <w:rPr>
          <w:rFonts w:hint="eastAsia"/>
        </w:rPr>
        <w:t>。</w:t>
      </w:r>
      <w:r>
        <w:rPr>
          <w:rFonts w:hint="eastAsia"/>
          <w:lang w:eastAsia="zh-CN"/>
        </w:rPr>
        <w:t>接收材料联系电话：</w:t>
      </w:r>
      <w:r>
        <w:rPr>
          <w:rFonts w:hint="eastAsia"/>
          <w:lang w:val="en-US" w:eastAsia="zh-CN"/>
        </w:rPr>
        <w:t>010-68205119。</w:t>
      </w:r>
    </w:p>
    <w:p>
      <w:pPr>
        <w:pStyle w:val="3"/>
        <w:numPr>
          <w:ilvl w:val="0"/>
          <w:numId w:val="4"/>
        </w:numPr>
        <w:spacing w:before="156"/>
        <w:ind w:firstLine="562"/>
        <w:rPr>
          <w:rFonts w:hint="eastAsia"/>
          <w:lang w:eastAsia="zh-CN"/>
        </w:rPr>
      </w:pPr>
      <w:bookmarkStart w:id="26" w:name="_Toc7313"/>
      <w:r>
        <w:rPr>
          <w:rFonts w:hint="eastAsia"/>
        </w:rPr>
        <w:t>办理基本流程</w:t>
      </w:r>
      <w:bookmarkEnd w:id="26"/>
    </w:p>
    <w:p>
      <w:pPr>
        <w:numPr>
          <w:ilvl w:val="0"/>
          <w:numId w:val="7"/>
        </w:numPr>
        <w:ind w:firstLine="560"/>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 xml:space="preserve">申请程序 </w:t>
      </w:r>
    </w:p>
    <w:p>
      <w:pPr>
        <w:widowControl w:val="0"/>
        <w:numPr>
          <w:numId w:val="0"/>
        </w:numPr>
        <w:wordWrap/>
        <w:adjustRightInd/>
        <w:snapToGrid/>
        <w:spacing w:line="288" w:lineRule="auto"/>
        <w:ind w:left="0" w:leftChars="0" w:right="0" w:firstLine="560" w:firstLineChars="200"/>
        <w:jc w:val="both"/>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申请人可以将当年拟建设的全国性信息网络工程项目编制成企业传输网滚动专题规划，于每年第一季度申请审核。</w:t>
      </w:r>
      <w:r>
        <w:rPr>
          <w:rFonts w:hint="default" w:cs="Times New Roman"/>
          <w:b w:val="0"/>
          <w:kern w:val="2"/>
          <w:sz w:val="28"/>
          <w:szCs w:val="22"/>
          <w:lang w:eastAsia="zh-CN" w:bidi="ar-SA"/>
        </w:rPr>
        <w:t>国际通信基础设施项目和其他</w:t>
      </w:r>
      <w:r>
        <w:rPr>
          <w:rFonts w:hint="eastAsia" w:ascii="Times New Roman" w:hAnsi="Times New Roman" w:eastAsia="华文仿宋" w:cs="Times New Roman"/>
          <w:b w:val="0"/>
          <w:kern w:val="2"/>
          <w:sz w:val="28"/>
          <w:szCs w:val="22"/>
          <w:lang w:val="en-US" w:eastAsia="zh-CN" w:bidi="ar-SA"/>
        </w:rPr>
        <w:t>未纳入规划项目需单独提出申请。</w:t>
      </w:r>
    </w:p>
    <w:p>
      <w:pPr>
        <w:numPr>
          <w:ilvl w:val="0"/>
          <w:numId w:val="7"/>
        </w:numPr>
        <w:ind w:firstLine="560" w:firstLineChars="200"/>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受理、审查、决定程序</w:t>
      </w:r>
    </w:p>
    <w:p>
      <w:pPr>
        <w:widowControl w:val="0"/>
        <w:numPr>
          <w:numId w:val="0"/>
        </w:numPr>
        <w:wordWrap/>
        <w:adjustRightInd/>
        <w:snapToGrid/>
        <w:spacing w:line="288" w:lineRule="auto"/>
        <w:ind w:left="0" w:leftChars="0" w:right="0" w:firstLine="560" w:firstLineChars="200"/>
        <w:jc w:val="both"/>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对于申请材料齐全、符合法定形式的，工业和信息化部应当受理，并向申请人出具书面受理通知；申请材料不齐全或者不符合法定形式的，工业和信息化部应当在5个工作日内一次性告知申请人应当补正的全部内容。对于不予受理的，应当向申请人出具不予受理通知书，并说明理由。</w:t>
      </w:r>
    </w:p>
    <w:p>
      <w:pPr>
        <w:widowControl w:val="0"/>
        <w:numPr>
          <w:numId w:val="0"/>
        </w:numPr>
        <w:wordWrap/>
        <w:adjustRightInd/>
        <w:snapToGrid/>
        <w:spacing w:line="288" w:lineRule="auto"/>
        <w:ind w:left="0" w:leftChars="0" w:right="0" w:firstLine="560" w:firstLineChars="200"/>
        <w:jc w:val="both"/>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对于受理的申请，工业和信息化部应当自受理之日起20个工作日内完成审批工作。20个工作日不能作出决定的，经工业和信息化部负责人批准，可以延长10个工作日，但应当将延长期限的理由告知申请人。</w:t>
      </w:r>
    </w:p>
    <w:p>
      <w:pPr>
        <w:widowControl w:val="0"/>
        <w:numPr>
          <w:numId w:val="0"/>
        </w:numPr>
        <w:wordWrap/>
        <w:adjustRightInd/>
        <w:snapToGrid/>
        <w:spacing w:line="288" w:lineRule="auto"/>
        <w:ind w:left="0" w:leftChars="0" w:right="0" w:firstLine="560" w:firstLineChars="200"/>
        <w:jc w:val="both"/>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工业和信息化部可以组织专家对企业的申请材料中技术方案、投资方案、项目内容等进行综合评定。专家评审所需时间依法不计算在审批期限内。</w:t>
      </w:r>
      <w:r>
        <w:rPr>
          <w:rFonts w:hint="default" w:cs="Times New Roman"/>
          <w:b w:val="0"/>
          <w:kern w:val="2"/>
          <w:sz w:val="28"/>
          <w:szCs w:val="22"/>
          <w:lang w:eastAsia="zh-CN" w:bidi="ar-SA"/>
        </w:rPr>
        <w:t>部分国际通信基础设施建设项目需会同有关部门进行联合审查，所需时间不计算在审批期限内。</w:t>
      </w:r>
    </w:p>
    <w:p>
      <w:pPr>
        <w:numPr>
          <w:ilvl w:val="0"/>
          <w:numId w:val="8"/>
        </w:numPr>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延续、变更、补办程序</w:t>
      </w:r>
    </w:p>
    <w:p>
      <w:pPr>
        <w:widowControl w:val="0"/>
        <w:numPr>
          <w:ilvl w:val="0"/>
          <w:numId w:val="9"/>
        </w:numPr>
        <w:wordWrap/>
        <w:adjustRightInd/>
        <w:snapToGrid/>
        <w:spacing w:line="288" w:lineRule="auto"/>
        <w:ind w:left="0" w:leftChars="0" w:right="0"/>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延续程序</w:t>
      </w:r>
    </w:p>
    <w:p>
      <w:pPr>
        <w:widowControl w:val="0"/>
        <w:numPr>
          <w:numId w:val="0"/>
        </w:numPr>
        <w:wordWrap/>
        <w:adjustRightInd/>
        <w:snapToGrid/>
        <w:spacing w:line="288" w:lineRule="auto"/>
        <w:ind w:left="0" w:leftChars="0" w:right="0" w:firstLine="560" w:firstLineChars="200"/>
        <w:jc w:val="both"/>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《省际干线传输网滚动规划》批复有效期为一年，未完成项目需提出申请延期建设，并提交下列材料：</w:t>
      </w:r>
    </w:p>
    <w:p>
      <w:pPr>
        <w:widowControl w:val="0"/>
        <w:numPr>
          <w:ilvl w:val="0"/>
          <w:numId w:val="10"/>
        </w:numPr>
        <w:wordWrap/>
        <w:adjustRightInd/>
        <w:snapToGrid/>
        <w:spacing w:line="288" w:lineRule="auto"/>
        <w:ind w:left="0" w:leftChars="0" w:right="0"/>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项目延期申请表；</w:t>
      </w:r>
    </w:p>
    <w:p>
      <w:pPr>
        <w:widowControl w:val="0"/>
        <w:numPr>
          <w:ilvl w:val="0"/>
          <w:numId w:val="10"/>
        </w:numPr>
        <w:wordWrap/>
        <w:adjustRightInd/>
        <w:snapToGrid/>
        <w:spacing w:line="288" w:lineRule="auto"/>
        <w:ind w:left="0" w:leftChars="0" w:right="0"/>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项目延期情况说明。</w:t>
      </w:r>
    </w:p>
    <w:p>
      <w:pPr>
        <w:keepNext/>
        <w:keepLines/>
        <w:widowControl w:val="0"/>
        <w:numPr>
          <w:numId w:val="0"/>
        </w:numPr>
        <w:wordWrap/>
        <w:adjustRightInd/>
        <w:snapToGrid/>
        <w:spacing w:before="156" w:beforeLines="50" w:line="288" w:lineRule="auto"/>
        <w:ind w:left="0" w:leftChars="0" w:right="0" w:firstLine="560" w:firstLineChars="200"/>
        <w:jc w:val="left"/>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2、变更程序</w:t>
      </w:r>
    </w:p>
    <w:p>
      <w:pPr>
        <w:widowControl w:val="0"/>
        <w:numPr>
          <w:numId w:val="0"/>
        </w:numPr>
        <w:wordWrap/>
        <w:adjustRightInd/>
        <w:snapToGrid/>
        <w:spacing w:line="288" w:lineRule="auto"/>
        <w:ind w:left="0" w:leftChars="0" w:right="0" w:firstLine="560"/>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项目建设内容发生变更的，应当在30日内向工业和信息化部提出变更申请，并提交下列材料：</w:t>
      </w:r>
    </w:p>
    <w:p>
      <w:pPr>
        <w:keepNext/>
        <w:keepLines/>
        <w:widowControl w:val="0"/>
        <w:numPr>
          <w:numId w:val="0"/>
        </w:numPr>
        <w:wordWrap/>
        <w:adjustRightInd/>
        <w:snapToGrid/>
        <w:spacing w:before="156" w:beforeLines="50" w:line="288" w:lineRule="auto"/>
        <w:ind w:left="0" w:leftChars="0" w:right="0" w:firstLine="560" w:firstLineChars="200"/>
        <w:jc w:val="left"/>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（1）项目变更申请表；</w:t>
      </w:r>
    </w:p>
    <w:p>
      <w:pPr>
        <w:keepNext/>
        <w:keepLines/>
        <w:widowControl w:val="0"/>
        <w:numPr>
          <w:numId w:val="0"/>
        </w:numPr>
        <w:wordWrap/>
        <w:adjustRightInd/>
        <w:snapToGrid/>
        <w:spacing w:before="156" w:beforeLines="50" w:line="288" w:lineRule="auto"/>
        <w:ind w:left="0" w:leftChars="0" w:right="0" w:firstLine="560" w:firstLineChars="200"/>
        <w:jc w:val="left"/>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（2）项目所变更情况说明。</w:t>
      </w:r>
    </w:p>
    <w:p>
      <w:pPr>
        <w:keepNext/>
        <w:keepLines/>
        <w:widowControl w:val="0"/>
        <w:numPr>
          <w:numId w:val="0"/>
        </w:numPr>
        <w:wordWrap/>
        <w:adjustRightInd/>
        <w:snapToGrid/>
        <w:spacing w:before="156" w:beforeLines="50" w:line="288" w:lineRule="auto"/>
        <w:ind w:left="0" w:leftChars="0" w:right="0" w:firstLine="560" w:firstLineChars="200"/>
        <w:jc w:val="left"/>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3、补办程序</w:t>
      </w:r>
    </w:p>
    <w:p>
      <w:pPr>
        <w:keepNext/>
        <w:keepLines/>
        <w:widowControl w:val="0"/>
        <w:numPr>
          <w:numId w:val="0"/>
        </w:numPr>
        <w:wordWrap/>
        <w:adjustRightInd/>
        <w:snapToGrid/>
        <w:spacing w:before="156" w:beforeLines="50" w:line="288" w:lineRule="auto"/>
        <w:ind w:left="0" w:leftChars="0" w:right="0" w:firstLine="560" w:firstLineChars="200"/>
        <w:jc w:val="left"/>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批复文件遗失的，应当向工业和信息化部提出补办申请，并提交下列材料：</w:t>
      </w:r>
    </w:p>
    <w:p>
      <w:pPr>
        <w:keepNext/>
        <w:keepLines/>
        <w:widowControl w:val="0"/>
        <w:numPr>
          <w:numId w:val="0"/>
        </w:numPr>
        <w:wordWrap/>
        <w:adjustRightInd/>
        <w:snapToGrid/>
        <w:spacing w:before="156" w:beforeLines="50" w:line="288" w:lineRule="auto"/>
        <w:ind w:left="0" w:leftChars="0" w:right="0" w:firstLine="560" w:firstLineChars="200"/>
        <w:jc w:val="left"/>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（1）批复补办申请表；</w:t>
      </w:r>
    </w:p>
    <w:p>
      <w:pPr>
        <w:keepNext/>
        <w:keepLines/>
        <w:widowControl w:val="0"/>
        <w:numPr>
          <w:numId w:val="0"/>
        </w:numPr>
        <w:wordWrap/>
        <w:adjustRightInd/>
        <w:snapToGrid/>
        <w:spacing w:before="156" w:beforeLines="50" w:line="288" w:lineRule="auto"/>
        <w:ind w:left="0" w:leftChars="0" w:right="0" w:firstLine="560" w:firstLineChars="200"/>
        <w:jc w:val="left"/>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（2）公众媒体上刊登的遗失声明。</w:t>
      </w:r>
    </w:p>
    <w:p>
      <w:pPr>
        <w:pStyle w:val="3"/>
        <w:numPr>
          <w:ilvl w:val="0"/>
          <w:numId w:val="4"/>
        </w:numPr>
        <w:spacing w:before="156"/>
        <w:ind w:firstLine="562"/>
      </w:pPr>
      <w:bookmarkStart w:id="27" w:name="_Toc11018"/>
      <w:r>
        <w:rPr>
          <w:rFonts w:hint="eastAsia"/>
        </w:rPr>
        <w:t>办理</w:t>
      </w:r>
      <w:r>
        <w:rPr>
          <w:rFonts w:hint="eastAsia"/>
          <w:lang w:eastAsia="zh-CN"/>
        </w:rPr>
        <w:t>方式</w:t>
      </w:r>
      <w:bookmarkEnd w:id="27"/>
    </w:p>
    <w:p>
      <w:pPr>
        <w:rPr>
          <w:rFonts w:hint="eastAsia"/>
          <w:color w:val="000000"/>
          <w:lang w:eastAsia="zh-CN"/>
        </w:rPr>
      </w:pPr>
      <w:r>
        <w:rPr>
          <w:rFonts w:hint="eastAsia"/>
          <w:color w:val="000000"/>
          <w:lang w:eastAsia="zh-CN"/>
        </w:rPr>
        <w:t>通过审查书面材料办理。</w:t>
      </w:r>
    </w:p>
    <w:p>
      <w:pPr>
        <w:pStyle w:val="3"/>
        <w:numPr>
          <w:ilvl w:val="0"/>
          <w:numId w:val="4"/>
        </w:numPr>
        <w:spacing w:before="156"/>
        <w:ind w:firstLine="562"/>
      </w:pPr>
      <w:bookmarkStart w:id="28" w:name="_Toc915"/>
      <w:r>
        <w:rPr>
          <w:rFonts w:hint="eastAsia"/>
        </w:rPr>
        <w:t>办理</w:t>
      </w:r>
      <w:r>
        <w:rPr>
          <w:rFonts w:hint="eastAsia"/>
          <w:lang w:eastAsia="zh-CN"/>
        </w:rPr>
        <w:t>时限</w:t>
      </w:r>
      <w:bookmarkEnd w:id="28"/>
    </w:p>
    <w:p>
      <w:pPr>
        <w:widowControl w:val="0"/>
        <w:numPr>
          <w:numId w:val="0"/>
        </w:numPr>
        <w:wordWrap/>
        <w:adjustRightInd/>
        <w:snapToGrid/>
        <w:spacing w:line="288" w:lineRule="auto"/>
        <w:ind w:left="0" w:leftChars="0" w:right="0" w:firstLine="560" w:firstLineChars="200"/>
        <w:jc w:val="both"/>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 xml:space="preserve"> 工业和信息化部应当自受理之日起20个工作日内完成审批工作。20个工作日不能作出决定的，经工业和信息化部负责人批准，可以延长10个工作日，但应当将延长期限的理由告知申请人。</w:t>
      </w:r>
    </w:p>
    <w:p>
      <w:pPr>
        <w:widowControl w:val="0"/>
        <w:numPr>
          <w:numId w:val="0"/>
        </w:numPr>
        <w:wordWrap/>
        <w:adjustRightInd/>
        <w:snapToGrid/>
        <w:spacing w:line="288" w:lineRule="auto"/>
        <w:ind w:left="0" w:leftChars="0" w:right="0" w:firstLine="560" w:firstLineChars="200"/>
        <w:jc w:val="both"/>
        <w:textAlignment w:val="auto"/>
        <w:outlineLvl w:val="9"/>
        <w:rPr>
          <w:rFonts w:hint="eastAsia" w:ascii="Times New Roman" w:hAnsi="Times New Roman" w:eastAsia="华文仿宋" w:cs="Times New Roman"/>
          <w:b w:val="0"/>
          <w:kern w:val="2"/>
          <w:sz w:val="28"/>
          <w:szCs w:val="22"/>
          <w:lang w:val="en-US" w:eastAsia="zh-CN" w:bidi="ar-SA"/>
        </w:rPr>
      </w:pPr>
      <w:r>
        <w:rPr>
          <w:rFonts w:hint="eastAsia" w:ascii="Times New Roman" w:hAnsi="Times New Roman" w:eastAsia="华文仿宋" w:cs="Times New Roman"/>
          <w:b w:val="0"/>
          <w:kern w:val="2"/>
          <w:sz w:val="28"/>
          <w:szCs w:val="22"/>
          <w:lang w:val="en-US" w:eastAsia="zh-CN" w:bidi="ar-SA"/>
        </w:rPr>
        <w:t>工业和信息化部可以组织专家对企业的申请材料中技术方案、投资方案、项目内容等进行综合评定。专家评审所需时间依法不计算在审批期限内。</w:t>
      </w:r>
      <w:r>
        <w:rPr>
          <w:rFonts w:hint="default" w:cs="Times New Roman"/>
          <w:b w:val="0"/>
          <w:kern w:val="2"/>
          <w:sz w:val="28"/>
          <w:szCs w:val="22"/>
          <w:lang w:eastAsia="zh-CN" w:bidi="ar-SA"/>
        </w:rPr>
        <w:t>部分国际通信基础设施建设项目需会同有关部门进行联合审查，所需时间不计算在审批期限内。</w:t>
      </w:r>
    </w:p>
    <w:p>
      <w:pPr>
        <w:pStyle w:val="3"/>
        <w:numPr>
          <w:ilvl w:val="0"/>
          <w:numId w:val="4"/>
        </w:numPr>
        <w:spacing w:before="156"/>
        <w:ind w:firstLine="562"/>
      </w:pPr>
      <w:bookmarkStart w:id="29" w:name="_Toc14543"/>
      <w:r>
        <w:rPr>
          <w:rFonts w:hint="eastAsia"/>
        </w:rPr>
        <w:t>收费标准</w:t>
      </w:r>
      <w:bookmarkEnd w:id="29"/>
    </w:p>
    <w:p>
      <w:r>
        <w:rPr>
          <w:rFonts w:hint="eastAsia"/>
        </w:rPr>
        <w:t>本审批事项不收费。</w:t>
      </w:r>
    </w:p>
    <w:p>
      <w:pPr>
        <w:pStyle w:val="3"/>
        <w:numPr>
          <w:ilvl w:val="0"/>
          <w:numId w:val="4"/>
        </w:numPr>
        <w:spacing w:before="156"/>
        <w:ind w:firstLine="562"/>
      </w:pPr>
      <w:bookmarkStart w:id="30" w:name="_Toc15492"/>
      <w:r>
        <w:rPr>
          <w:rFonts w:hint="eastAsia"/>
        </w:rPr>
        <w:t>审批结果</w:t>
      </w:r>
      <w:bookmarkEnd w:id="30"/>
    </w:p>
    <w:p>
      <w:pPr>
        <w:rPr>
          <w:rFonts w:hint="default" w:cs="Times New Roman"/>
          <w:b w:val="0"/>
          <w:kern w:val="2"/>
          <w:sz w:val="28"/>
          <w:szCs w:val="22"/>
          <w:lang w:eastAsia="zh-CN" w:bidi="ar-SA"/>
        </w:rPr>
      </w:pPr>
      <w:r>
        <w:rPr>
          <w:rFonts w:hint="eastAsia" w:ascii="Times New Roman" w:hAnsi="Times New Roman" w:eastAsia="华文仿宋" w:cs="Times New Roman"/>
          <w:b w:val="0"/>
          <w:kern w:val="2"/>
          <w:sz w:val="28"/>
          <w:szCs w:val="22"/>
          <w:lang w:val="en-US" w:eastAsia="zh-CN" w:bidi="ar-SA"/>
        </w:rPr>
        <w:t>批复文件或不予许可告知书</w:t>
      </w:r>
      <w:r>
        <w:rPr>
          <w:rFonts w:hint="default" w:cs="Times New Roman"/>
          <w:b w:val="0"/>
          <w:kern w:val="2"/>
          <w:sz w:val="28"/>
          <w:szCs w:val="22"/>
          <w:lang w:eastAsia="zh-CN" w:bidi="ar-SA"/>
        </w:rPr>
        <w:t>。</w:t>
      </w:r>
    </w:p>
    <w:p>
      <w:pPr>
        <w:pStyle w:val="3"/>
        <w:numPr>
          <w:ilvl w:val="0"/>
          <w:numId w:val="4"/>
        </w:numPr>
        <w:spacing w:before="156"/>
        <w:ind w:firstLine="562"/>
      </w:pPr>
      <w:bookmarkStart w:id="31" w:name="_Toc26454"/>
      <w:r>
        <w:rPr>
          <w:rFonts w:hint="eastAsia"/>
        </w:rPr>
        <w:t>结果</w:t>
      </w:r>
      <w:r>
        <w:rPr>
          <w:rFonts w:hint="eastAsia"/>
          <w:lang w:eastAsia="zh-CN"/>
        </w:rPr>
        <w:t>送达</w:t>
      </w:r>
      <w:bookmarkEnd w:id="31"/>
    </w:p>
    <w:p>
      <w:pPr>
        <w:ind w:left="0" w:leftChars="0" w:firstLine="560" w:firstLineChars="200"/>
        <w:rPr>
          <w:rFonts w:hint="eastAsia" w:ascii="Times New Roman" w:hAnsi="Times New Roman" w:eastAsia="华文仿宋" w:cs="Times New Roman"/>
          <w:b w:val="0"/>
          <w:kern w:val="2"/>
          <w:sz w:val="28"/>
          <w:szCs w:val="22"/>
          <w:lang w:val="en-US" w:eastAsia="zh-CN" w:bidi="ar-SA"/>
        </w:rPr>
      </w:pPr>
      <w:r>
        <w:rPr>
          <w:rFonts w:hint="default" w:cs="Times New Roman"/>
          <w:b w:val="0"/>
          <w:kern w:val="2"/>
          <w:sz w:val="28"/>
          <w:szCs w:val="22"/>
          <w:lang w:eastAsia="zh-CN" w:bidi="ar-SA"/>
        </w:rPr>
        <w:t>工业和信息化部</w:t>
      </w:r>
      <w:r>
        <w:rPr>
          <w:rFonts w:hint="eastAsia" w:ascii="Times New Roman" w:hAnsi="Times New Roman" w:eastAsia="华文仿宋" w:cs="Times New Roman"/>
          <w:b w:val="0"/>
          <w:kern w:val="2"/>
          <w:sz w:val="28"/>
          <w:szCs w:val="22"/>
          <w:lang w:val="en-US" w:eastAsia="zh-CN" w:bidi="ar-SA"/>
        </w:rPr>
        <w:t>在办结后10日内将批复文件或不予许可告知书答复告知项目单位。</w:t>
      </w:r>
      <w:r>
        <w:rPr>
          <w:rFonts w:hint="eastAsia" w:cs="Times New Roman"/>
          <w:b w:val="0"/>
          <w:kern w:val="2"/>
          <w:sz w:val="28"/>
          <w:szCs w:val="22"/>
          <w:lang w:val="en-US" w:eastAsia="zh-CN" w:bidi="ar-SA"/>
        </w:rPr>
        <w:t>非涉密结果同时在网上公布。</w:t>
      </w:r>
    </w:p>
    <w:p>
      <w:pPr>
        <w:pStyle w:val="3"/>
        <w:numPr>
          <w:ilvl w:val="0"/>
          <w:numId w:val="4"/>
        </w:numPr>
        <w:spacing w:before="156"/>
        <w:ind w:firstLine="562"/>
      </w:pPr>
      <w:bookmarkStart w:id="32" w:name="_Toc9342"/>
      <w:r>
        <w:rPr>
          <w:rFonts w:hint="eastAsia"/>
        </w:rPr>
        <w:t>行政相对人权利和义务</w:t>
      </w:r>
      <w:bookmarkEnd w:id="32"/>
    </w:p>
    <w:p>
      <w:pPr>
        <w:widowControl w:val="0"/>
        <w:numPr>
          <w:numId w:val="0"/>
        </w:numPr>
        <w:wordWrap/>
        <w:adjustRightInd/>
        <w:snapToGrid/>
        <w:spacing w:line="288" w:lineRule="auto"/>
        <w:ind w:left="0" w:leftChars="0" w:right="0" w:firstLine="560" w:firstLineChars="200"/>
        <w:jc w:val="both"/>
        <w:textAlignment w:val="auto"/>
        <w:outlineLvl w:val="9"/>
        <w:rPr>
          <w:color w:val="000000"/>
        </w:rPr>
      </w:pPr>
      <w:r>
        <w:rPr>
          <w:rFonts w:hint="eastAsia"/>
          <w:color w:val="000000"/>
          <w:lang w:eastAsia="zh-CN"/>
        </w:rPr>
        <w:t>（一）</w:t>
      </w:r>
      <w:r>
        <w:rPr>
          <w:rFonts w:hint="eastAsia"/>
          <w:color w:val="000000"/>
        </w:rPr>
        <w:t>行政相对人的权利</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1、</w:t>
      </w:r>
      <w:r>
        <w:rPr>
          <w:rFonts w:hint="eastAsia"/>
        </w:rPr>
        <w:t>当事人提出行政许可申请，符合法定条件、标准的，有获得准予许可的权利。</w:t>
      </w:r>
    </w:p>
    <w:p>
      <w:pPr>
        <w:widowControl w:val="0"/>
        <w:numPr>
          <w:numId w:val="0"/>
        </w:numPr>
        <w:wordWrap/>
        <w:adjustRightInd/>
        <w:snapToGrid/>
        <w:spacing w:line="288" w:lineRule="auto"/>
        <w:ind w:left="0" w:leftChars="0" w:right="0" w:firstLine="560" w:firstLineChars="200"/>
        <w:jc w:val="both"/>
        <w:textAlignment w:val="auto"/>
        <w:outlineLvl w:val="9"/>
        <w:rPr>
          <w:rFonts w:hint="eastAsia"/>
        </w:rPr>
      </w:pPr>
      <w:r>
        <w:rPr>
          <w:rFonts w:hint="eastAsia"/>
          <w:lang w:val="en-US" w:eastAsia="zh-CN"/>
        </w:rPr>
        <w:t>2、</w:t>
      </w:r>
      <w:r>
        <w:rPr>
          <w:rFonts w:hint="eastAsia"/>
        </w:rPr>
        <w:t>当事人对工业和信息化部门做出的行政决定或其认定的违法事实及拟给予的行政处罚，或者不同意当事人的申请的事实与理由，有陈述与申辩的权利。</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3、</w:t>
      </w:r>
      <w:r>
        <w:rPr>
          <w:rFonts w:hint="eastAsia"/>
        </w:rPr>
        <w:t>当事人对工业和信息化部门拟作出的具体行政行为决定的事实、理由及依据，有了解、知情的权利。</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4、</w:t>
      </w:r>
      <w:r>
        <w:rPr>
          <w:rFonts w:hint="eastAsia"/>
        </w:rPr>
        <w:t>当事人对工业和信息化部门做出的不予行政许可的决定或认为其具体行政行为侵犯其合法权益，有依法申请行政复议或向人民法院提起行政诉讼的权利；当事人对行政复议决定不服的，有权向人民法院提起行政诉讼。</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5、</w:t>
      </w:r>
      <w:r>
        <w:rPr>
          <w:rFonts w:hint="eastAsia"/>
        </w:rPr>
        <w:t>当事人对于工业和信息化部门和其行政执法人员的违法失职行为，有权申诉、控告；对于工业和信息化部门和其行政执法人员违反党纪、政纪的行为，有向纪检监察部门检举的权利，有权向工业和信息化部门举报违法从事行政许可事项的活动。</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6、</w:t>
      </w:r>
      <w:r>
        <w:rPr>
          <w:rFonts w:hint="eastAsia"/>
        </w:rPr>
        <w:t>法律、法规规定的其它权利。</w:t>
      </w:r>
    </w:p>
    <w:p>
      <w:pPr>
        <w:widowControl w:val="0"/>
        <w:numPr>
          <w:numId w:val="0"/>
        </w:numPr>
        <w:wordWrap/>
        <w:adjustRightInd/>
        <w:snapToGrid/>
        <w:spacing w:line="288" w:lineRule="auto"/>
        <w:ind w:left="0" w:leftChars="0" w:right="0" w:firstLine="560" w:firstLineChars="200"/>
        <w:jc w:val="both"/>
        <w:textAlignment w:val="auto"/>
        <w:outlineLvl w:val="9"/>
        <w:rPr>
          <w:color w:val="000000"/>
        </w:rPr>
      </w:pPr>
      <w:r>
        <w:rPr>
          <w:rFonts w:hint="eastAsia"/>
          <w:color w:val="000000"/>
          <w:lang w:eastAsia="zh-CN"/>
        </w:rPr>
        <w:t>（二）</w:t>
      </w:r>
      <w:r>
        <w:rPr>
          <w:rFonts w:hint="eastAsia"/>
          <w:color w:val="000000"/>
        </w:rPr>
        <w:t>行政</w:t>
      </w:r>
      <w:r>
        <w:rPr>
          <w:rFonts w:hint="eastAsia"/>
        </w:rPr>
        <w:t>相对人</w:t>
      </w:r>
      <w:r>
        <w:rPr>
          <w:rFonts w:hint="eastAsia"/>
          <w:color w:val="000000"/>
        </w:rPr>
        <w:t>的义务</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1、</w:t>
      </w:r>
      <w:r>
        <w:rPr>
          <w:rFonts w:hint="eastAsia"/>
        </w:rPr>
        <w:t>当事人有自觉遵守《</w:t>
      </w:r>
      <w:r>
        <w:rPr>
          <w:rFonts w:hint="eastAsia"/>
          <w:lang w:eastAsia="zh-CN"/>
        </w:rPr>
        <w:t>中华人民共和国</w:t>
      </w:r>
      <w:r>
        <w:rPr>
          <w:rFonts w:hint="eastAsia"/>
        </w:rPr>
        <w:t>电信条例》和其他有关法律、行政法规规定的义务。</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2、</w:t>
      </w:r>
      <w:r>
        <w:rPr>
          <w:rFonts w:hint="eastAsia"/>
        </w:rPr>
        <w:t>当事人在向工业和信息化部门提出行政许可等申请时，应当向工业和信息化部门如实提交有关材料和反映真实情况，并对其提交材料实质内容的真实性负责。</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3、</w:t>
      </w:r>
      <w:r>
        <w:rPr>
          <w:rFonts w:hint="eastAsia"/>
        </w:rPr>
        <w:t>对工业和信息化部门依法做出的决定，当事人有在决定规定的期限内自觉履行和主动、及时纠正其违法行为的义务。</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4、</w:t>
      </w:r>
      <w:r>
        <w:rPr>
          <w:rFonts w:hint="eastAsia"/>
        </w:rPr>
        <w:t>法律、法规规定的其他义务。</w:t>
      </w:r>
    </w:p>
    <w:p>
      <w:pPr>
        <w:pStyle w:val="3"/>
        <w:numPr>
          <w:ilvl w:val="0"/>
          <w:numId w:val="4"/>
        </w:numPr>
        <w:spacing w:before="156"/>
        <w:ind w:firstLine="562"/>
      </w:pPr>
      <w:bookmarkStart w:id="33" w:name="_Toc21984"/>
      <w:r>
        <w:rPr>
          <w:rFonts w:hint="eastAsia"/>
        </w:rPr>
        <w:t>咨询途径</w:t>
      </w:r>
      <w:bookmarkEnd w:id="33"/>
    </w:p>
    <w:p>
      <w:pPr>
        <w:numPr>
          <w:numId w:val="0"/>
        </w:numPr>
        <w:ind w:leftChars="200"/>
        <w:rPr>
          <w:color w:val="000000"/>
        </w:rPr>
      </w:pPr>
      <w:r>
        <w:rPr>
          <w:rFonts w:hint="eastAsia"/>
          <w:color w:val="000000"/>
        </w:rPr>
        <w:t>电话咨询：010-68</w:t>
      </w:r>
      <w:r>
        <w:rPr>
          <w:rFonts w:hint="eastAsia"/>
          <w:color w:val="000000"/>
          <w:lang w:val="en-US" w:eastAsia="zh-CN"/>
        </w:rPr>
        <w:t>2</w:t>
      </w:r>
      <w:r>
        <w:rPr>
          <w:rFonts w:hint="eastAsia"/>
          <w:color w:val="000000"/>
        </w:rPr>
        <w:t>0</w:t>
      </w:r>
      <w:r>
        <w:rPr>
          <w:rFonts w:hint="eastAsia"/>
          <w:color w:val="000000"/>
          <w:lang w:val="en-US" w:eastAsia="zh-CN"/>
        </w:rPr>
        <w:t>5119</w:t>
      </w:r>
      <w:r>
        <w:rPr>
          <w:rFonts w:hint="eastAsia"/>
          <w:color w:val="000000"/>
        </w:rPr>
        <w:t xml:space="preserve">  </w:t>
      </w:r>
    </w:p>
    <w:p>
      <w:pPr>
        <w:pStyle w:val="3"/>
        <w:numPr>
          <w:ilvl w:val="0"/>
          <w:numId w:val="4"/>
        </w:numPr>
        <w:spacing w:before="156"/>
        <w:ind w:firstLine="562"/>
      </w:pPr>
      <w:bookmarkStart w:id="34" w:name="_Toc25116"/>
      <w:r>
        <w:rPr>
          <w:rFonts w:hint="eastAsia"/>
        </w:rPr>
        <w:t>监督投诉渠道</w:t>
      </w:r>
      <w:bookmarkEnd w:id="34"/>
    </w:p>
    <w:p>
      <w:r>
        <w:rPr>
          <w:rFonts w:hint="eastAsia"/>
        </w:rPr>
        <w:t>对于负责该审批事项的工作人员的服务质量、服务态度或违法违纪问题，申请人可以通过以下形式投诉或举报：</w:t>
      </w:r>
    </w:p>
    <w:p>
      <w:pPr>
        <w:rPr>
          <w:highlight w:val="none"/>
        </w:rPr>
      </w:pPr>
      <w:r>
        <w:rPr>
          <w:rFonts w:hint="eastAsia"/>
          <w:highlight w:val="none"/>
        </w:rPr>
        <w:t>电话：010-</w:t>
      </w:r>
      <w:r>
        <w:rPr>
          <w:rFonts w:hint="eastAsia"/>
          <w:highlight w:val="none"/>
          <w:lang w:val="en-US" w:eastAsia="zh-CN"/>
        </w:rPr>
        <w:t>68205105</w:t>
      </w:r>
    </w:p>
    <w:p>
      <w:pPr>
        <w:pStyle w:val="3"/>
        <w:numPr>
          <w:ilvl w:val="0"/>
          <w:numId w:val="4"/>
        </w:numPr>
        <w:spacing w:before="156"/>
        <w:ind w:firstLine="562"/>
      </w:pPr>
      <w:bookmarkStart w:id="35" w:name="_Toc2928"/>
      <w:r>
        <w:rPr>
          <w:rFonts w:hint="eastAsia"/>
        </w:rPr>
        <w:t>办公地址和时间</w:t>
      </w:r>
      <w:bookmarkEnd w:id="35"/>
    </w:p>
    <w:p>
      <w:r>
        <w:rPr>
          <w:rFonts w:hint="eastAsia"/>
        </w:rPr>
        <w:t>办公地址：北京市西长安街13号</w:t>
      </w:r>
    </w:p>
    <w:p>
      <w:r>
        <w:rPr>
          <w:rFonts w:hint="eastAsia"/>
        </w:rPr>
        <w:t>办公时间：每周一至周五的上午8:00-1</w:t>
      </w:r>
      <w:r>
        <w:rPr>
          <w:rFonts w:hint="eastAsia"/>
          <w:lang w:val="en-US" w:eastAsia="zh-CN"/>
        </w:rPr>
        <w:t>2</w:t>
      </w:r>
      <w:r>
        <w:rPr>
          <w:rFonts w:hint="eastAsia"/>
        </w:rPr>
        <w:t>:</w:t>
      </w:r>
      <w:r>
        <w:rPr>
          <w:rFonts w:hint="eastAsia"/>
          <w:lang w:val="en-US" w:eastAsia="zh-CN"/>
        </w:rPr>
        <w:t>0</w:t>
      </w:r>
      <w:r>
        <w:rPr>
          <w:rFonts w:hint="eastAsia"/>
        </w:rPr>
        <w:t>0；下午13:</w:t>
      </w:r>
      <w:r>
        <w:rPr>
          <w:rFonts w:hint="eastAsia"/>
          <w:lang w:val="en-US" w:eastAsia="zh-CN"/>
        </w:rPr>
        <w:t>0</w:t>
      </w:r>
      <w:r>
        <w:rPr>
          <w:rFonts w:hint="eastAsia"/>
        </w:rPr>
        <w:t>0-17:00</w:t>
      </w:r>
    </w:p>
    <w:p>
      <w:pPr>
        <w:pStyle w:val="3"/>
        <w:numPr>
          <w:ilvl w:val="0"/>
          <w:numId w:val="4"/>
        </w:numPr>
        <w:spacing w:before="156"/>
        <w:ind w:firstLine="562"/>
      </w:pPr>
      <w:bookmarkStart w:id="36" w:name="_Toc22472"/>
      <w:r>
        <w:rPr>
          <w:rFonts w:hint="eastAsia"/>
        </w:rPr>
        <w:t>办理进程和结果公开查询</w:t>
      </w:r>
      <w:bookmarkEnd w:id="36"/>
    </w:p>
    <w:p>
      <w:pPr>
        <w:numPr>
          <w:numId w:val="0"/>
        </w:numPr>
        <w:ind w:leftChars="200"/>
      </w:pPr>
      <w:r>
        <w:rPr>
          <w:rFonts w:hint="eastAsia"/>
        </w:rPr>
        <w:t>办理进程</w:t>
      </w:r>
      <w:r>
        <w:rPr>
          <w:rFonts w:hint="eastAsia"/>
          <w:lang w:eastAsia="zh-CN"/>
        </w:rPr>
        <w:t>和结果可通过电话</w:t>
      </w:r>
      <w:r>
        <w:rPr>
          <w:rFonts w:hint="eastAsia"/>
        </w:rPr>
        <w:t>查询</w:t>
      </w:r>
    </w:p>
    <w:p>
      <w:r>
        <w:rPr>
          <w:rFonts w:hint="eastAsia"/>
          <w:lang w:eastAsia="zh-CN"/>
        </w:rPr>
        <w:t>电话查询：</w:t>
      </w:r>
      <w:r>
        <w:rPr>
          <w:rFonts w:hint="eastAsia"/>
          <w:lang w:val="en-US" w:eastAsia="zh-CN"/>
        </w:rPr>
        <w:t>010-68205119</w:t>
      </w:r>
      <w:r>
        <w:rPr>
          <w:rFonts w:hint="eastAsia"/>
        </w:rPr>
        <w:t>。</w:t>
      </w:r>
    </w:p>
    <w:p>
      <w:pPr>
        <w:numPr>
          <w:numId w:val="0"/>
        </w:numPr>
        <w:ind w:leftChars="200"/>
      </w:pPr>
      <w:r>
        <w:rPr>
          <w:rFonts w:hint="eastAsia"/>
        </w:rPr>
        <w:t>结果公开查询</w:t>
      </w:r>
    </w:p>
    <w:p>
      <w:r>
        <w:rPr>
          <w:rFonts w:hint="eastAsia"/>
        </w:rPr>
        <w:t>申请企业可访问中华人民共和国工业和信息化部官网（http://www.miit.gov.cn）查询公示结果。具体访问路径如下：打开中华人民共和国工业和信息化部官网，点击“在线办事”——“</w:t>
      </w:r>
      <w:r>
        <w:rPr>
          <w:rFonts w:hint="eastAsia"/>
          <w:lang w:eastAsia="zh-CN"/>
        </w:rPr>
        <w:t>通信业和信息化固定资产</w:t>
      </w:r>
      <w:r>
        <w:rPr>
          <w:rFonts w:hint="eastAsia"/>
        </w:rPr>
        <w:t>”——</w:t>
      </w:r>
      <w:r>
        <w:rPr>
          <w:rFonts w:hint="eastAsia"/>
          <w:lang w:eastAsia="zh-CN"/>
        </w:rPr>
        <w:t>“</w:t>
      </w:r>
      <w:r>
        <w:rPr>
          <w:rFonts w:hint="eastAsia"/>
        </w:rPr>
        <w:t xml:space="preserve">全国性信息网络工程或者国家规定限额以上建设项目的公用电信网、专用电信网、广播电视传输网建设审核 </w:t>
      </w:r>
      <w:r>
        <w:rPr>
          <w:rFonts w:hint="eastAsia"/>
          <w:lang w:eastAsia="zh-CN"/>
        </w:rPr>
        <w:t>”</w:t>
      </w:r>
      <w:r>
        <w:rPr>
          <w:rFonts w:hint="eastAsia"/>
        </w:rPr>
        <w:t>——“结果查询”。</w:t>
      </w:r>
    </w:p>
    <w:p>
      <w:pPr>
        <w:widowControl/>
        <w:jc w:val="left"/>
      </w:pPr>
      <w:r>
        <w:rPr>
          <w:rFonts w:ascii="宋体" w:hAnsi="宋体" w:eastAsia="宋体" w:cs="宋体"/>
          <w:kern w:val="0"/>
          <w:sz w:val="24"/>
          <w:szCs w:val="24"/>
          <w:lang w:val="en-US" w:eastAsia="zh-CN" w:bidi="ar-SA"/>
        </w:rPr>
        <w:fldChar w:fldCharType="begin" w:fldLock="1"/>
      </w:r>
      <w:r>
        <w:rPr>
          <w:rFonts w:ascii="宋体" w:hAnsi="宋体" w:eastAsia="宋体" w:cs="宋体"/>
          <w:kern w:val="0"/>
          <w:sz w:val="24"/>
          <w:szCs w:val="24"/>
          <w:lang w:val="en-US" w:eastAsia="zh-CN" w:bidi="ar-SA"/>
        </w:rPr>
        <w:instrText xml:space="preserve">INCLUDEPICTURE \d "C:\\Users\\wxr123\\AppData\\Roaming\\Tencent\\Users\\527443575\\QQ\\WinTemp\\RichOle\\ICZD55QIYBBPK5CXA~K)W8Y.png" \* MERGEFORMATINET </w:instrText>
      </w:r>
      <w:r>
        <w:rPr>
          <w:rFonts w:ascii="宋体" w:hAnsi="宋体" w:eastAsia="宋体" w:cs="宋体"/>
          <w:kern w:val="0"/>
          <w:sz w:val="24"/>
          <w:szCs w:val="24"/>
          <w:lang w:val="en-US" w:eastAsia="zh-CN" w:bidi="ar-SA"/>
        </w:rPr>
        <w:fldChar w:fldCharType="separate"/>
      </w:r>
      <w:r>
        <w:rPr>
          <w:rFonts w:ascii="宋体" w:hAnsi="宋体" w:eastAsia="宋体" w:cs="宋体"/>
          <w:kern w:val="0"/>
          <w:sz w:val="24"/>
          <w:szCs w:val="24"/>
          <w:lang w:val="en-US" w:eastAsia="zh-CN" w:bidi="ar-SA"/>
        </w:rPr>
        <w:pict>
          <v:shape id="Picture 2" o:spid="_x0000_s1028" type="#_x0000_t75" style="height:176pt;width:379.95pt;rotation:0f;" o:ole="f" fillcolor="#FFFFFF" filled="f" o:preferrelative="t" stroked="f" coordorigin="0,0" coordsize="21600,21600">
            <v:fill on="f" color2="#FFFFFF" focus="0%"/>
            <v:imagedata gain="65536f" blacklevel="0f" gamma="0" o:title="IMG_256" r:id="rId16"/>
            <o:lock v:ext="edit" position="f" selection="f" grouping="f" rotation="f" cropping="f" text="f" aspectratio="t"/>
            <w10:wrap type="none"/>
            <w10:anchorlock/>
          </v:shape>
        </w:pict>
      </w:r>
      <w:r>
        <w:rPr>
          <w:rFonts w:ascii="宋体" w:hAnsi="宋体" w:eastAsia="宋体" w:cs="宋体"/>
          <w:kern w:val="0"/>
          <w:sz w:val="24"/>
          <w:szCs w:val="24"/>
          <w:lang w:val="en-US" w:eastAsia="zh-CN" w:bidi="ar-SA"/>
        </w:rPr>
        <w:fldChar w:fldCharType="end"/>
      </w:r>
    </w:p>
    <w:p>
      <w:pPr>
        <w:ind w:firstLine="0" w:firstLineChars="0"/>
        <w:jc w:val="center"/>
      </w:pPr>
    </w:p>
    <w:p>
      <w:pPr>
        <w:ind w:firstLine="0" w:firstLineChars="0"/>
        <w:jc w:val="center"/>
      </w:pPr>
    </w:p>
    <w:p>
      <w:pPr>
        <w:widowControl/>
        <w:jc w:val="left"/>
      </w:pPr>
      <w:r>
        <w:rPr>
          <w:rFonts w:ascii="宋体" w:hAnsi="宋体" w:eastAsia="宋体" w:cs="宋体"/>
          <w:kern w:val="0"/>
          <w:sz w:val="24"/>
          <w:szCs w:val="24"/>
          <w:lang w:val="en-US" w:eastAsia="zh-CN" w:bidi="ar-SA"/>
        </w:rPr>
        <w:fldChar w:fldCharType="begin" w:fldLock="1"/>
      </w:r>
      <w:r>
        <w:rPr>
          <w:rFonts w:ascii="宋体" w:hAnsi="宋体" w:eastAsia="宋体" w:cs="宋体"/>
          <w:kern w:val="0"/>
          <w:sz w:val="24"/>
          <w:szCs w:val="24"/>
          <w:lang w:val="en-US" w:eastAsia="zh-CN" w:bidi="ar-SA"/>
        </w:rPr>
        <w:instrText xml:space="preserve">INCLUDEPICTURE \d "C:\\Users\\wxr123\\AppData\\Roaming\\Tencent\\Users\\527443575\\QQ\\WinTemp\\RichOle\\74PSX~Q$5QDY6TVW{4X{U`0.png" \* MERGEFORMATINET </w:instrText>
      </w:r>
      <w:r>
        <w:rPr>
          <w:rFonts w:ascii="宋体" w:hAnsi="宋体" w:eastAsia="宋体" w:cs="宋体"/>
          <w:kern w:val="0"/>
          <w:sz w:val="24"/>
          <w:szCs w:val="24"/>
          <w:lang w:val="en-US" w:eastAsia="zh-CN" w:bidi="ar-SA"/>
        </w:rPr>
        <w:fldChar w:fldCharType="separate"/>
      </w:r>
      <w:r>
        <w:rPr>
          <w:rFonts w:ascii="宋体" w:hAnsi="宋体" w:eastAsia="宋体" w:cs="宋体"/>
          <w:kern w:val="0"/>
          <w:sz w:val="24"/>
          <w:szCs w:val="24"/>
          <w:lang w:val="en-US" w:eastAsia="zh-CN" w:bidi="ar-SA"/>
        </w:rPr>
        <w:pict>
          <v:shape id="Picture 3" o:spid="_x0000_s1029" type="#_x0000_t75" style="height:241.05pt;width:368.7pt;rotation:0f;" o:ole="f" fillcolor="#FFFFFF" filled="f" o:preferrelative="t" stroked="f" coordorigin="0,0" coordsize="21600,21600">
            <v:fill on="f" color2="#FFFFFF" focus="0%"/>
            <v:imagedata gain="65536f" blacklevel="0f" gamma="0" o:title="IMG_256" r:id="rId17"/>
            <o:lock v:ext="edit" position="f" selection="f" grouping="f" rotation="f" cropping="f" text="f" aspectratio="t"/>
            <w10:wrap type="none"/>
            <w10:anchorlock/>
          </v:shape>
        </w:pict>
      </w:r>
      <w:r>
        <w:rPr>
          <w:rFonts w:ascii="宋体" w:hAnsi="宋体" w:eastAsia="宋体" w:cs="宋体"/>
          <w:kern w:val="0"/>
          <w:sz w:val="24"/>
          <w:szCs w:val="24"/>
          <w:lang w:val="en-US" w:eastAsia="zh-CN" w:bidi="ar-SA"/>
        </w:rPr>
        <w:fldChar w:fldCharType="end"/>
      </w:r>
    </w:p>
    <w:p>
      <w:pPr>
        <w:widowControl/>
        <w:jc w:val="left"/>
      </w:pPr>
      <w:r>
        <w:rPr>
          <w:rFonts w:ascii="宋体" w:hAnsi="宋体" w:eastAsia="宋体" w:cs="宋体"/>
          <w:kern w:val="0"/>
          <w:sz w:val="24"/>
          <w:szCs w:val="24"/>
          <w:lang w:val="en-US" w:eastAsia="zh-CN" w:bidi="ar-SA"/>
        </w:rPr>
        <w:fldChar w:fldCharType="begin" w:fldLock="1"/>
      </w:r>
      <w:r>
        <w:rPr>
          <w:rFonts w:ascii="宋体" w:hAnsi="宋体" w:eastAsia="宋体" w:cs="宋体"/>
          <w:kern w:val="0"/>
          <w:sz w:val="24"/>
          <w:szCs w:val="24"/>
          <w:lang w:val="en-US" w:eastAsia="zh-CN" w:bidi="ar-SA"/>
        </w:rPr>
        <w:instrText xml:space="preserve">INCLUDEPICTURE \d "C:\\Users\\wxr123\\AppData\\Roaming\\Tencent\\Users\\527443575\\QQ\\WinTemp\\RichOle\\DXC3}EA_`D8E[`1GB(V8[`F.png" \* MERGEFORMATINET </w:instrText>
      </w:r>
      <w:r>
        <w:rPr>
          <w:rFonts w:ascii="宋体" w:hAnsi="宋体" w:eastAsia="宋体" w:cs="宋体"/>
          <w:kern w:val="0"/>
          <w:sz w:val="24"/>
          <w:szCs w:val="24"/>
          <w:lang w:val="en-US" w:eastAsia="zh-CN" w:bidi="ar-SA"/>
        </w:rPr>
        <w:fldChar w:fldCharType="separate"/>
      </w:r>
      <w:r>
        <w:rPr>
          <w:rFonts w:ascii="宋体" w:hAnsi="宋体" w:eastAsia="宋体" w:cs="宋体"/>
          <w:kern w:val="0"/>
          <w:sz w:val="24"/>
          <w:szCs w:val="24"/>
          <w:lang w:val="en-US" w:eastAsia="zh-CN" w:bidi="ar-SA"/>
        </w:rPr>
        <w:pict>
          <v:shape id="Picture 4" o:spid="_x0000_s1030" type="#_x0000_t75" style="height:181.3pt;width:369.45pt;rotation:0f;" o:ole="f" fillcolor="#FFFFFF" filled="f" o:preferrelative="t" stroked="f" coordorigin="0,0" coordsize="21600,21600">
            <v:fill on="f" color2="#FFFFFF" focus="0%"/>
            <v:imagedata gain="65536f" blacklevel="0f" gamma="0" o:title="IMG_256" r:id="rId18"/>
            <o:lock v:ext="edit" position="f" selection="f" grouping="f" rotation="f" cropping="f" text="f" aspectratio="t"/>
            <w10:wrap type="none"/>
            <w10:anchorlock/>
          </v:shape>
        </w:pict>
      </w:r>
      <w:r>
        <w:rPr>
          <w:rFonts w:ascii="宋体" w:hAnsi="宋体" w:eastAsia="宋体" w:cs="宋体"/>
          <w:kern w:val="0"/>
          <w:sz w:val="24"/>
          <w:szCs w:val="24"/>
          <w:lang w:val="en-US" w:eastAsia="zh-CN" w:bidi="ar-SA"/>
        </w:rPr>
        <w:fldChar w:fldCharType="end"/>
      </w:r>
    </w:p>
    <w:p>
      <w:pPr>
        <w:ind w:firstLine="0" w:firstLineChars="0"/>
        <w:jc w:val="center"/>
      </w:pPr>
    </w:p>
    <w:p>
      <w:pPr>
        <w:widowControl/>
        <w:jc w:val="left"/>
      </w:pPr>
      <w:r>
        <w:rPr>
          <w:rFonts w:ascii="宋体" w:hAnsi="宋体" w:eastAsia="宋体" w:cs="宋体"/>
          <w:kern w:val="0"/>
          <w:sz w:val="24"/>
          <w:szCs w:val="24"/>
          <w:lang w:val="en-US" w:eastAsia="zh-CN" w:bidi="ar-SA"/>
        </w:rPr>
        <w:fldChar w:fldCharType="begin" w:fldLock="1"/>
      </w:r>
      <w:r>
        <w:rPr>
          <w:rFonts w:ascii="宋体" w:hAnsi="宋体" w:eastAsia="宋体" w:cs="宋体"/>
          <w:kern w:val="0"/>
          <w:sz w:val="24"/>
          <w:szCs w:val="24"/>
          <w:lang w:val="en-US" w:eastAsia="zh-CN" w:bidi="ar-SA"/>
        </w:rPr>
        <w:instrText xml:space="preserve">INCLUDEPICTURE \d "C:\\Users\\wxr123\\AppData\\Roaming\\Tencent\\Users\\527443575\\QQ\\WinTemp\\RichOle\\6UA{@TX[N8@SY~I)9ZJ}Q2Q.png" \* MERGEFORMATINET </w:instrText>
      </w:r>
      <w:r>
        <w:rPr>
          <w:rFonts w:ascii="宋体" w:hAnsi="宋体" w:eastAsia="宋体" w:cs="宋体"/>
          <w:kern w:val="0"/>
          <w:sz w:val="24"/>
          <w:szCs w:val="24"/>
          <w:lang w:val="en-US" w:eastAsia="zh-CN" w:bidi="ar-SA"/>
        </w:rPr>
        <w:fldChar w:fldCharType="separate"/>
      </w:r>
      <w:r>
        <w:rPr>
          <w:rFonts w:ascii="宋体" w:hAnsi="宋体" w:eastAsia="宋体" w:cs="宋体"/>
          <w:kern w:val="0"/>
          <w:sz w:val="24"/>
          <w:szCs w:val="24"/>
          <w:lang w:val="en-US" w:eastAsia="zh-CN" w:bidi="ar-SA"/>
        </w:rPr>
        <w:pict>
          <v:shape id="Picture 5" o:spid="_x0000_s1031" type="#_x0000_t75" style="height:267.9pt;width:376pt;rotation:0f;" o:ole="f" fillcolor="#FFFFFF" filled="f" o:preferrelative="t" stroked="f" coordorigin="0,0" coordsize="21600,21600">
            <v:fill on="f" color2="#FFFFFF" focus="0%"/>
            <v:imagedata gain="65536f" blacklevel="0f" gamma="0" o:title="IMG_256" r:id="rId19"/>
            <o:lock v:ext="edit" position="f" selection="f" grouping="f" rotation="f" cropping="f" text="f" aspectratio="t"/>
            <w10:wrap type="none"/>
            <w10:anchorlock/>
          </v:shape>
        </w:pict>
      </w:r>
      <w:r>
        <w:rPr>
          <w:rFonts w:ascii="宋体" w:hAnsi="宋体" w:eastAsia="宋体" w:cs="宋体"/>
          <w:kern w:val="0"/>
          <w:sz w:val="24"/>
          <w:szCs w:val="24"/>
          <w:lang w:val="en-US" w:eastAsia="zh-CN" w:bidi="ar-SA"/>
        </w:rPr>
        <w:fldChar w:fldCharType="end"/>
      </w:r>
    </w:p>
    <w:p>
      <w:pPr>
        <w:ind w:firstLine="0" w:firstLineChars="0"/>
        <w:jc w:val="center"/>
      </w:pPr>
    </w:p>
    <w:p>
      <w:pPr>
        <w:ind w:firstLine="0" w:firstLineChars="0"/>
        <w:jc w:val="center"/>
      </w:pPr>
    </w:p>
    <w:p>
      <w:pPr>
        <w:pStyle w:val="2"/>
        <w:keepNext/>
        <w:keepLines/>
        <w:widowControl w:val="0"/>
        <w:wordWrap/>
        <w:adjustRightInd/>
        <w:snapToGrid/>
        <w:spacing w:before="40" w:after="0" w:line="20" w:lineRule="exact"/>
        <w:ind w:left="0" w:leftChars="0" w:right="0" w:firstLine="640" w:firstLineChars="200"/>
        <w:jc w:val="center"/>
        <w:textAlignment w:val="auto"/>
        <w:outlineLvl w:val="0"/>
        <w:rPr>
          <w:rFonts w:hint="eastAsia"/>
        </w:rPr>
      </w:pPr>
    </w:p>
    <w:p>
      <w:pPr>
        <w:rPr>
          <w:rFonts w:hint="eastAsia"/>
        </w:rPr>
      </w:pPr>
    </w:p>
    <w:p>
      <w:pPr>
        <w:pStyle w:val="2"/>
        <w:keepNext/>
        <w:keepLines/>
        <w:widowControl w:val="0"/>
        <w:wordWrap/>
        <w:adjustRightInd/>
        <w:snapToGrid/>
        <w:spacing w:after="0"/>
        <w:ind w:left="0" w:leftChars="0" w:right="0" w:firstLine="643"/>
        <w:textAlignment w:val="auto"/>
      </w:pPr>
      <w:bookmarkStart w:id="37" w:name="_Toc17015"/>
      <w:r>
        <w:rPr>
          <w:rFonts w:hint="eastAsia"/>
        </w:rPr>
        <w:t>附录</w:t>
      </w:r>
      <w:bookmarkEnd w:id="37"/>
    </w:p>
    <w:p>
      <w:pPr>
        <w:pStyle w:val="3"/>
        <w:keepNext/>
        <w:keepLines/>
        <w:widowControl w:val="0"/>
        <w:numPr>
          <w:ilvl w:val="0"/>
          <w:numId w:val="0"/>
        </w:numPr>
        <w:wordWrap/>
        <w:adjustRightInd/>
        <w:snapToGrid/>
        <w:spacing w:before="156"/>
        <w:ind w:left="0" w:leftChars="0" w:right="0"/>
        <w:textAlignment w:val="auto"/>
        <w:rPr>
          <w:rFonts w:hint="eastAsia"/>
        </w:rPr>
      </w:pPr>
      <w:bookmarkStart w:id="38" w:name="_Toc22833"/>
      <w:r>
        <w:rPr>
          <w:rFonts w:hint="eastAsia"/>
        </w:rPr>
        <w:t>附录一：流程图</w:t>
      </w:r>
      <w:bookmarkEnd w:id="38"/>
    </w:p>
    <w:p>
      <w:r>
        <w:rPr>
          <w:rFonts w:ascii="Times New Roman" w:hAnsi="Times New Roman" w:eastAsia="华文仿宋" w:cs="Times New Roman"/>
          <w:kern w:val="2"/>
          <w:sz w:val="21"/>
          <w:szCs w:val="22"/>
          <w:lang w:val="en-US" w:eastAsia="zh-CN" w:bidi="ar-SA"/>
        </w:rPr>
        <w:pict>
          <v:shape id="Flowchart: Preparation 1026" o:spid="_x0000_s1032" type="#_x0000_t117" style="position:absolute;left:0;margin-left:106.9pt;margin-top:5.95pt;height:26.75pt;width:186.6pt;rotation:0f;z-index:251675648;v-text-anchor:middle;" o:ole="f" fillcolor="#FFFFFF" filled="t" o:preferrelative="t" stroked="t" coordorigin="0,0"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both"/>
                    <w:rPr>
                      <w:rFonts w:hint="eastAsia" w:eastAsia="宋体"/>
                      <w:sz w:val="22"/>
                      <w:szCs w:val="22"/>
                      <w:lang w:val="en-US" w:eastAsia="zh-CN"/>
                    </w:rPr>
                  </w:pPr>
                  <w:r>
                    <w:rPr>
                      <w:rFonts w:hint="eastAsia"/>
                      <w:sz w:val="22"/>
                      <w:szCs w:val="22"/>
                      <w:lang w:val="en-US" w:eastAsia="zh-CN"/>
                    </w:rPr>
                    <w:t>办公厅收到申报材料</w:t>
                  </w:r>
                </w:p>
              </w:txbxContent>
            </v:textbox>
          </v:shape>
        </w:pict>
      </w:r>
      <w:r>
        <w:rPr>
          <w:rFonts w:ascii="Times New Roman" w:hAnsi="Times New Roman" w:eastAsia="华文仿宋" w:cs="Times New Roman"/>
          <w:kern w:val="2"/>
          <w:sz w:val="21"/>
          <w:szCs w:val="22"/>
          <w:lang w:val="en-US" w:eastAsia="zh-CN" w:bidi="ar-SA"/>
        </w:rPr>
        <w:pict>
          <v:shape id="Straight Connector 1028" o:spid="_x0000_s1033" type="#_x0000_t32" style="position:absolute;left:0;flip:y;margin-left:304.15pt;margin-top:104.95pt;height:0.35pt;width:19.65pt;rotation:0f;z-index:251693056;"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29" o:spid="_x0000_s1034" type="#_x0000_t32" style="position:absolute;left:0;flip:x;margin-left:72pt;margin-top:105.3pt;height:0.75pt;width:23.3pt;rotation:0f;z-index:251692032;"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30" o:spid="_x0000_s1035" type="#_x0000_t32" style="position:absolute;left:0;flip:x;margin-left:199.75pt;margin-top:71.7pt;height:11.4pt;width:0.15pt;rotation:0f;z-index:251691008;"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31" o:spid="_x0000_s1036" type="#_x0000_t32" style="position:absolute;left:0;flip:x;margin-left:199.9pt;margin-top:32.7pt;height:14.8pt;width:0.3pt;rotation:0f;z-index:251677696;"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p>
    <w:p>
      <w:r>
        <w:rPr>
          <w:rFonts w:ascii="Times New Roman" w:hAnsi="Times New Roman" w:eastAsia="华文仿宋" w:cs="Times New Roman"/>
          <w:kern w:val="2"/>
          <w:sz w:val="21"/>
          <w:szCs w:val="22"/>
          <w:lang w:val="en-US" w:eastAsia="zh-CN" w:bidi="ar-SA"/>
        </w:rPr>
        <w:pict>
          <v:rect id="Rectangle 1032" o:spid="_x0000_s1037" style="position:absolute;left:0;margin-left:126.15pt;margin-top:16.3pt;height:24.2pt;width:147.5pt;rotation:0f;z-index:251676672;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jc w:val="center"/>
                    <w:rPr>
                      <w:rFonts w:hint="eastAsia" w:eastAsia="宋体"/>
                      <w:sz w:val="22"/>
                      <w:szCs w:val="22"/>
                      <w:lang w:eastAsia="zh-CN"/>
                    </w:rPr>
                  </w:pPr>
                  <w:r>
                    <w:rPr>
                      <w:rFonts w:hint="eastAsia"/>
                      <w:sz w:val="22"/>
                      <w:szCs w:val="22"/>
                      <w:lang w:eastAsia="zh-CN"/>
                    </w:rPr>
                    <w:t>规划司</w:t>
                  </w:r>
                  <w:r>
                    <w:rPr>
                      <w:rFonts w:hint="eastAsia"/>
                      <w:sz w:val="22"/>
                      <w:szCs w:val="22"/>
                      <w:lang w:val="en-US" w:eastAsia="zh-CN"/>
                    </w:rPr>
                    <w:t xml:space="preserve"> 形式审查</w:t>
                  </w:r>
                </w:p>
              </w:txbxContent>
            </v:textbox>
          </v:rect>
        </w:pict>
      </w:r>
      <w:r>
        <w:rPr>
          <w:rFonts w:ascii="Times New Roman" w:hAnsi="Times New Roman" w:eastAsia="华文仿宋" w:cs="Times New Roman"/>
          <w:kern w:val="2"/>
          <w:sz w:val="21"/>
          <w:szCs w:val="22"/>
          <w:lang w:val="en-US" w:eastAsia="zh-CN" w:bidi="ar-SA"/>
        </w:rPr>
        <w:pict>
          <v:shape id="Straight Connector 1034" o:spid="_x0000_s1038" type="#_x0000_t32" style="position:absolute;left:0;flip:y;margin-left:92.05pt;margin-top:416.8pt;height:0.45pt;width:41.8pt;rotation:0f;z-index:251706368;"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Elbow Connector 1035" o:spid="_x0000_s1039" type="#_x0000_t34" style="position:absolute;left:0;flip:y;margin-left:32.3pt;margin-top:386.9pt;height:0.1pt;width:17.15pt;rotation:17694720f;z-index:-251646976;" o:ole="f" fillcolor="#FFFFFF" filled="t" o:preferrelative="t" stroked="t" coordorigin="0,0" coordsize="21600,21600" adj="108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39" o:spid="_x0000_s1040" type="#_x0000_t32" style="position:absolute;left:0;flip:x;margin-left:101.3pt;margin-top:355pt;height:0.2pt;width:37.1pt;rotation:0f;z-index:-251645952;"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40" o:spid="_x0000_s1041" type="#_x0000_t32" style="position:absolute;left:0;flip:x;margin-left:218.15pt;margin-top:429.8pt;height:26.05pt;width:0.2pt;rotation:0f;z-index:-251648000;"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44" o:spid="_x0000_s1042" type="#_x0000_t32" style="position:absolute;left:0;margin-left:218.35pt;margin-top:376.75pt;height:27.05pt;width:0.05pt;rotation:0f;z-index:251698176;"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46" o:spid="_x0000_s1043" type="#_x0000_t32" style="position:absolute;left:0;flip:x;margin-left:349.7pt;margin-top:235.75pt;height:17.05pt;width:0.1pt;rotation:0f;z-index:251699200;"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47" o:spid="_x0000_s1044" type="#_x0000_t32" style="position:absolute;left:0;flip:x;margin-left:251.9pt;margin-top:285.35pt;height:0.15pt;width:40.4pt;rotation:0f;z-index:-251658240;"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48" o:spid="_x0000_s1045" type="#_x0000_t32" style="position:absolute;left:0;margin-left:148.35pt;margin-top:210.95pt;height:0.3pt;width:24.75pt;rotation:0f;z-index:251694080;"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p>
    <w:p>
      <w:r>
        <w:rPr>
          <w:rFonts w:ascii="Times New Roman" w:hAnsi="Times New Roman" w:eastAsia="华文仿宋" w:cs="Times New Roman"/>
          <w:kern w:val="2"/>
          <w:sz w:val="21"/>
          <w:szCs w:val="22"/>
          <w:lang w:val="en-US" w:eastAsia="zh-CN" w:bidi="ar-SA"/>
        </w:rPr>
        <w:pict>
          <v:shape id="Quad Arrow 1081" o:spid="_x0000_s1046" type="#_x0000_t202" style="position:absolute;left:0;margin-left:74.95pt;margin-top:14.4pt;height:37.3pt;width:36.4pt;rotation:0f;z-index:251673600;"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华文仿宋"/>
                      <w:sz w:val="18"/>
                      <w:szCs w:val="18"/>
                      <w:lang w:val="en-US" w:eastAsia="zh-CN"/>
                    </w:rPr>
                  </w:pPr>
                  <w:r>
                    <w:rPr>
                      <w:rFonts w:hint="eastAsia"/>
                      <w:sz w:val="18"/>
                      <w:szCs w:val="18"/>
                      <w:lang w:val="en-US" w:eastAsia="zh-CN"/>
                    </w:rPr>
                    <w:t>是</w:t>
                  </w:r>
                </w:p>
              </w:txbxContent>
            </v:textbox>
          </v:shape>
        </w:pict>
      </w:r>
      <w:r>
        <w:rPr>
          <w:rFonts w:ascii="Times New Roman" w:hAnsi="Times New Roman" w:eastAsia="华文仿宋" w:cs="Times New Roman"/>
          <w:kern w:val="2"/>
          <w:sz w:val="21"/>
          <w:szCs w:val="22"/>
          <w:lang w:val="en-US" w:eastAsia="zh-CN" w:bidi="ar-SA"/>
        </w:rPr>
        <w:pict>
          <v:shape id="Quad Arrow 1082" o:spid="_x0000_s1047" type="#_x0000_t202" style="position:absolute;left:0;margin-left:299.95pt;margin-top:19.9pt;height:37.3pt;width:36.4pt;rotation:0f;z-index:-251653120;"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华文仿宋"/>
                      <w:sz w:val="18"/>
                      <w:szCs w:val="18"/>
                      <w:lang w:val="en-US" w:eastAsia="zh-CN"/>
                    </w:rPr>
                  </w:pPr>
                  <w:r>
                    <w:rPr>
                      <w:rFonts w:hint="eastAsia"/>
                      <w:sz w:val="18"/>
                      <w:szCs w:val="18"/>
                      <w:lang w:val="en-US" w:eastAsia="zh-CN"/>
                    </w:rPr>
                    <w:t>否</w:t>
                  </w:r>
                </w:p>
              </w:txbxContent>
            </v:textbox>
          </v:shape>
        </w:pict>
      </w:r>
      <w:r>
        <w:rPr>
          <w:rFonts w:ascii="Times New Roman" w:hAnsi="Times New Roman" w:eastAsia="华文仿宋" w:cs="Times New Roman"/>
          <w:kern w:val="2"/>
          <w:sz w:val="21"/>
          <w:szCs w:val="22"/>
          <w:lang w:val="en-US" w:eastAsia="zh-CN" w:bidi="ar-SA"/>
        </w:rPr>
        <w:pict>
          <v:roundrect id="Rounded Rectangle 1051" o:spid="_x0000_s1048" style="position:absolute;left:0;margin-left:323.8pt;margin-top:19.35pt;height:46.4pt;width:85.1pt;rotation:0f;z-index:251680768;v-text-anchor:middle;" o:ole="f" fillcolor="#FFFFFF" filled="t" o:preferrelative="t" stroked="t" coordsize="21600,21600" arcsize="16.6666666666667%">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sz w:val="22"/>
                      <w:szCs w:val="22"/>
                      <w:lang w:val="en-US" w:eastAsia="zh-CN"/>
                    </w:rPr>
                  </w:pPr>
                  <w:r>
                    <w:rPr>
                      <w:rFonts w:hint="eastAsia"/>
                      <w:sz w:val="22"/>
                      <w:szCs w:val="22"/>
                      <w:lang w:val="en-US" w:eastAsia="zh-CN"/>
                    </w:rPr>
                    <w:t>反馈不予受理通知书</w:t>
                  </w:r>
                </w:p>
              </w:txbxContent>
            </v:textbox>
          </v:roundrect>
        </w:pict>
      </w:r>
      <w:r>
        <w:rPr>
          <w:rFonts w:ascii="Times New Roman" w:hAnsi="Times New Roman" w:eastAsia="华文仿宋" w:cs="Times New Roman"/>
          <w:kern w:val="2"/>
          <w:sz w:val="21"/>
          <w:szCs w:val="22"/>
          <w:lang w:val="en-US" w:eastAsia="zh-CN" w:bidi="ar-SA"/>
        </w:rPr>
        <w:pict>
          <v:rect id="Rectangle 1052" o:spid="_x0000_s1049" style="position:absolute;left:0;margin-left:-19pt;margin-top:19.7pt;height:47.9pt;width:91pt;rotation:0f;z-index:251682816;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sz w:val="22"/>
                      <w:szCs w:val="22"/>
                      <w:lang w:eastAsia="zh-CN"/>
                    </w:rPr>
                  </w:pPr>
                  <w:r>
                    <w:rPr>
                      <w:rFonts w:hint="eastAsia"/>
                      <w:sz w:val="22"/>
                      <w:szCs w:val="22"/>
                      <w:lang w:eastAsia="zh-CN"/>
                    </w:rPr>
                    <w:t>出具盖章的受理通知书</w:t>
                  </w:r>
                </w:p>
              </w:txbxContent>
            </v:textbox>
          </v:rect>
        </w:pict>
      </w:r>
      <w:r>
        <w:rPr>
          <w:rFonts w:ascii="Times New Roman" w:hAnsi="Times New Roman" w:eastAsia="华文仿宋" w:cs="Times New Roman"/>
          <w:kern w:val="2"/>
          <w:sz w:val="21"/>
          <w:szCs w:val="22"/>
          <w:lang w:val="en-US" w:eastAsia="zh-CN" w:bidi="ar-SA"/>
        </w:rPr>
        <w:pict>
          <v:shape id="Diamond 1053" o:spid="_x0000_s1050" type="#_x0000_t4" style="position:absolute;left:0;margin-left:95.3pt;margin-top:20.7pt;height:44.4pt;width:208.85pt;rotation:0f;z-index:251679744;v-text-anchor:middle;" o:ole="f" fillcolor="#FFFFFF" filled="t" o:preferrelative="t" stroked="t" coordorigin="0,0" coordsize="21600,21600">
            <v:stroke weight="0.25pt" color="#000000" color2="#FFFFFF" miterlimit="2"/>
            <v:imagedata gain="65536f" blacklevel="0f" gamma="0"/>
            <o:lock v:ext="edit" position="f" selection="f" grouping="f" rotation="f" cropping="f" text="f" aspectratio="f"/>
            <v:textbox>
              <w:txbxContent>
                <w:p>
                  <w:pPr>
                    <w:jc w:val="center"/>
                    <w:rPr>
                      <w:rFonts w:hint="eastAsia" w:eastAsia="宋体"/>
                      <w:sz w:val="22"/>
                      <w:szCs w:val="22"/>
                      <w:lang w:eastAsia="zh-CN"/>
                    </w:rPr>
                  </w:pPr>
                  <w:r>
                    <w:rPr>
                      <w:rFonts w:hint="eastAsia"/>
                      <w:sz w:val="22"/>
                      <w:szCs w:val="22"/>
                      <w:lang w:eastAsia="zh-CN"/>
                    </w:rPr>
                    <w:t>是否符合形式要求</w:t>
                  </w:r>
                </w:p>
              </w:txbxContent>
            </v:textbox>
          </v:shape>
        </w:pict>
      </w:r>
    </w:p>
    <w:p>
      <w:pPr>
        <w:jc w:val="center"/>
      </w:pPr>
      <w:r>
        <w:rPr>
          <w:rFonts w:ascii="Times New Roman" w:hAnsi="Times New Roman" w:eastAsia="华文仿宋" w:cs="Times New Roman"/>
          <w:kern w:val="2"/>
          <w:sz w:val="21"/>
          <w:szCs w:val="22"/>
          <w:lang w:val="en-US" w:eastAsia="zh-CN" w:bidi="ar-SA"/>
        </w:rPr>
        <w:pict>
          <v:shape id="Elbow Connector 1054" o:spid="_x0000_s1051" type="#_x0000_t34" style="position:absolute;left:0;margin-left:72pt;margin-top:18.95pt;height:59.4pt;width:87.9pt;rotation:0f;z-index:251701248;" o:ole="f" fillcolor="#FFFFFF" filled="t" o:preferrelative="t" stroked="t" coordorigin="0,0" coordsize="21600,21600" adj="3305">
            <v:stroke weight="0.25pt" color="#000000" color2="#FFFFFF" miterlimit="2" endarrow="open"/>
            <v:imagedata gain="65536f" blacklevel="0f" gamma="0"/>
            <o:lock v:ext="edit" position="f" selection="f" grouping="f" rotation="f" cropping="f" text="f" aspectratio="f"/>
          </v:shape>
        </w:pict>
      </w:r>
    </w:p>
    <w:p>
      <w:pPr>
        <w:jc w:val="center"/>
        <w:sectPr>
          <w:headerReference r:id="rId12" w:type="default"/>
          <w:footerReference r:id="rId13" w:type="default"/>
          <w:pgSz w:w="11906" w:h="16838"/>
          <w:pgMar w:top="1440" w:right="1800" w:bottom="1440" w:left="1800" w:header="851" w:footer="992" w:gutter="0"/>
          <w:pgNumType w:start="1"/>
          <w:cols w:space="720" w:num="1"/>
          <w:docGrid w:type="lines" w:linePitch="312" w:charSpace="0"/>
        </w:sectPr>
      </w:pPr>
      <w:bookmarkStart w:id="39" w:name="_Toc479324245"/>
      <w:r>
        <w:rPr>
          <w:rFonts w:ascii="Times New Roman" w:hAnsi="Times New Roman" w:eastAsia="华文仿宋" w:cs="Times New Roman"/>
          <w:kern w:val="2"/>
          <w:sz w:val="21"/>
          <w:szCs w:val="22"/>
          <w:lang w:val="en-US" w:eastAsia="zh-CN" w:bidi="ar-SA"/>
        </w:rPr>
        <w:pict>
          <v:shape id="Quad Arrow 1076" o:spid="_x0000_s1052" type="#_x0000_t202" style="position:absolute;left:0;margin-left:145.95pt;margin-top:91pt;height:37.3pt;width:36.4pt;rotation:0f;z-index:-251652096;"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华文仿宋"/>
                      <w:sz w:val="18"/>
                      <w:szCs w:val="18"/>
                      <w:lang w:val="en-US" w:eastAsia="zh-CN"/>
                    </w:rPr>
                  </w:pPr>
                  <w:r>
                    <w:rPr>
                      <w:rFonts w:hint="eastAsia"/>
                      <w:sz w:val="18"/>
                      <w:szCs w:val="18"/>
                      <w:lang w:val="en-US" w:eastAsia="zh-CN"/>
                    </w:rPr>
                    <w:t>是</w:t>
                  </w:r>
                </w:p>
              </w:txbxContent>
            </v:textbox>
          </v:shape>
        </w:pict>
      </w:r>
      <w:r>
        <w:rPr>
          <w:rFonts w:ascii="Times New Roman" w:hAnsi="Times New Roman" w:eastAsia="华文仿宋" w:cs="Times New Roman"/>
          <w:kern w:val="2"/>
          <w:sz w:val="21"/>
          <w:szCs w:val="22"/>
          <w:lang w:val="en-US" w:eastAsia="zh-CN" w:bidi="ar-SA"/>
        </w:rPr>
        <w:pict>
          <v:shape id="Quad Arrow 1078" o:spid="_x0000_s1053" type="#_x0000_t202" style="position:absolute;left:0;margin-left:259.95pt;margin-top:92pt;height:37.3pt;width:36.4pt;rotation:0f;z-index:251671552;"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华文仿宋"/>
                      <w:sz w:val="18"/>
                      <w:szCs w:val="18"/>
                      <w:lang w:val="en-US" w:eastAsia="zh-CN"/>
                    </w:rPr>
                  </w:pPr>
                  <w:r>
                    <w:rPr>
                      <w:rFonts w:hint="eastAsia"/>
                      <w:sz w:val="18"/>
                      <w:szCs w:val="18"/>
                      <w:lang w:val="en-US" w:eastAsia="zh-CN"/>
                    </w:rPr>
                    <w:t>是</w:t>
                  </w:r>
                </w:p>
              </w:txbxContent>
            </v:textbox>
          </v:shape>
        </w:pict>
      </w:r>
      <w:r>
        <w:rPr>
          <w:rFonts w:ascii="Times New Roman" w:hAnsi="Times New Roman" w:eastAsia="华文仿宋" w:cs="Times New Roman"/>
          <w:kern w:val="2"/>
          <w:sz w:val="21"/>
          <w:szCs w:val="22"/>
          <w:lang w:val="en-US" w:eastAsia="zh-CN" w:bidi="ar-SA"/>
        </w:rPr>
        <w:pict>
          <v:shape id="Quad Arrow 1066" o:spid="_x0000_s1054" type="#_x0000_t202" style="position:absolute;left:0;margin-left:239.9pt;margin-top:40.4pt;height:40.3pt;width:50.9pt;rotation:0f;z-index:251703296;"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jc w:val="center"/>
                    <w:rPr>
                      <w:rFonts w:hint="eastAsia" w:eastAsia="宋体"/>
                      <w:sz w:val="18"/>
                      <w:szCs w:val="18"/>
                      <w:lang w:eastAsia="zh-CN"/>
                    </w:rPr>
                  </w:pPr>
                  <w:r>
                    <w:rPr>
                      <w:rFonts w:hint="eastAsia"/>
                      <w:sz w:val="18"/>
                      <w:szCs w:val="18"/>
                      <w:lang w:eastAsia="zh-CN"/>
                    </w:rPr>
                    <w:t>分送协办司局</w:t>
                  </w:r>
                </w:p>
              </w:txbxContent>
            </v:textbox>
          </v:shape>
        </w:pict>
      </w:r>
      <w:r>
        <w:rPr>
          <w:rFonts w:ascii="Times New Roman" w:hAnsi="Times New Roman" w:eastAsia="华文仿宋" w:cs="Times New Roman"/>
          <w:kern w:val="2"/>
          <w:sz w:val="21"/>
          <w:szCs w:val="22"/>
          <w:lang w:val="en-US" w:eastAsia="zh-CN" w:bidi="ar-SA"/>
        </w:rPr>
        <w:pict>
          <v:rect id="Rectangle 1065" o:spid="_x0000_s1055" style="position:absolute;left:0;margin-left:159.9pt;margin-top:33.3pt;height:27.6pt;width:76.6pt;rotation:0f;z-index:251683840;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jc w:val="center"/>
                    <w:rPr>
                      <w:rFonts w:hint="eastAsia" w:eastAsia="宋体"/>
                      <w:sz w:val="22"/>
                      <w:szCs w:val="22"/>
                      <w:lang w:eastAsia="zh-CN"/>
                    </w:rPr>
                  </w:pPr>
                  <w:r>
                    <w:rPr>
                      <w:rFonts w:hint="eastAsia"/>
                      <w:sz w:val="22"/>
                      <w:szCs w:val="22"/>
                      <w:lang w:eastAsia="zh-CN"/>
                    </w:rPr>
                    <w:t>规划司</w:t>
                  </w:r>
                </w:p>
              </w:txbxContent>
            </v:textbox>
          </v:rect>
        </w:pict>
      </w:r>
      <w:r>
        <w:rPr>
          <w:rFonts w:ascii="Times New Roman" w:hAnsi="Times New Roman" w:eastAsia="华文仿宋" w:cs="Times New Roman"/>
          <w:kern w:val="2"/>
          <w:sz w:val="21"/>
          <w:szCs w:val="22"/>
          <w:lang w:val="en-US" w:eastAsia="zh-CN" w:bidi="ar-SA"/>
        </w:rPr>
        <w:pict>
          <v:shape id="Straight Connector 1071" o:spid="_x0000_s1056" type="#_x0000_t32" style="position:absolute;left:0;flip:y;margin-left:236.55pt;margin-top:46.7pt;height:0.45pt;width:109.2pt;rotation:0f;z-index:251681792;"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roundrect id="Rounded Rectangle 1060" o:spid="_x0000_s1057" style="position:absolute;left:0;margin-left:173.1pt;margin-top:104.25pt;height:26.8pt;width:73.35pt;rotation:0f;z-index:251705344;v-text-anchor:middle;" o:ole="f" fillcolor="#FFFFFF" filled="t" o:preferrelative="t" stroked="t" coordsize="21600,21600" arcsize="16.6666666666667%">
            <v:stroke weight="0.25pt" color="#000000" color2="#FFFFFF" miterlimit="2"/>
            <v:imagedata gain="65536f" blacklevel="0f" gamma="0"/>
            <o:lock v:ext="edit" position="f" selection="f" grouping="f" rotation="f" cropping="f" text="f" aspectratio="f"/>
            <v:textbox>
              <w:txbxContent>
                <w:p>
                  <w:pPr>
                    <w:ind w:left="0" w:leftChars="0" w:firstLine="0" w:firstLineChars="0"/>
                    <w:jc w:val="both"/>
                    <w:rPr>
                      <w:rFonts w:hint="eastAsia" w:eastAsia="宋体"/>
                      <w:sz w:val="22"/>
                      <w:szCs w:val="22"/>
                      <w:lang w:val="en-US" w:eastAsia="zh-CN"/>
                    </w:rPr>
                  </w:pPr>
                  <w:r>
                    <w:rPr>
                      <w:rFonts w:hint="eastAsia"/>
                      <w:sz w:val="22"/>
                      <w:szCs w:val="22"/>
                      <w:lang w:val="en-US" w:eastAsia="zh-CN"/>
                    </w:rPr>
                    <w:t>组织评审会</w:t>
                  </w:r>
                </w:p>
              </w:txbxContent>
            </v:textbox>
          </v:roundrect>
        </w:pict>
      </w:r>
      <w:r>
        <w:rPr>
          <w:rFonts w:ascii="Times New Roman" w:hAnsi="Times New Roman" w:eastAsia="华文仿宋" w:cs="Times New Roman"/>
          <w:kern w:val="2"/>
          <w:sz w:val="21"/>
          <w:szCs w:val="22"/>
          <w:lang w:val="en-US" w:eastAsia="zh-CN" w:bidi="ar-SA"/>
        </w:rPr>
        <w:pict>
          <v:shape id="Diamond 1059" o:spid="_x0000_s1058" type="#_x0000_t4" style="position:absolute;left:0;margin-left:-8.5pt;margin-top:91.6pt;height:51.45pt;width:156.85pt;rotation:0f;z-index:251704320;v-text-anchor:middle;" o:ole="f" fillcolor="#FFFFFF" filled="t" o:preferrelative="t" stroked="t" coordorigin="0,0"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both"/>
                    <w:rPr>
                      <w:rFonts w:hint="eastAsia" w:eastAsia="宋体"/>
                      <w:sz w:val="22"/>
                      <w:szCs w:val="22"/>
                      <w:lang w:eastAsia="zh-CN"/>
                    </w:rPr>
                  </w:pPr>
                  <w:r>
                    <w:rPr>
                      <w:rFonts w:hint="eastAsia"/>
                      <w:sz w:val="22"/>
                      <w:szCs w:val="22"/>
                      <w:lang w:eastAsia="zh-CN"/>
                    </w:rPr>
                    <w:t>需要专家评审</w:t>
                  </w:r>
                </w:p>
              </w:txbxContent>
            </v:textbox>
          </v:shape>
        </w:pict>
      </w:r>
      <w:r>
        <w:rPr>
          <w:rFonts w:ascii="Times New Roman" w:hAnsi="Times New Roman" w:eastAsia="华文仿宋" w:cs="Times New Roman"/>
          <w:kern w:val="2"/>
          <w:sz w:val="21"/>
          <w:szCs w:val="22"/>
          <w:lang w:val="en-US" w:eastAsia="zh-CN" w:bidi="ar-SA"/>
        </w:rPr>
        <w:pict>
          <v:shape id="Straight Connector 1027" o:spid="_x0000_s1059" type="#_x0000_t32" style="position:absolute;left:0;flip:x;margin-left:69.7pt;margin-top:143.05pt;height:34.15pt;width:0.25pt;rotation:0f;z-index:251695104;"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50" o:spid="_x0000_s1060" type="#_x0000_t32" style="position:absolute;left:0;flip:x;margin-left:209.7pt;margin-top:131.05pt;height:47.15pt;width:0.1pt;rotation:0f;z-index:251696128;"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69" o:spid="_x0000_s1061" type="#_x0000_t32" style="position:absolute;left:0;margin-left:299.2pt;margin-top:18.1pt;height:56pt;width:0.5pt;rotation:0f;z-index:251678720;" o:ole="f" fillcolor="#FFFFFF" filled="t" o:preferrelative="t" stroked="t" coordorigin="0,0" coordsize="21600,21600">
            <v:stroke weight="0.25pt" color="#000000" color2="#FFFFFF" miterlimit="2"/>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84" o:spid="_x0000_s1062" type="#_x0000_t32" style="position:absolute;left:0;flip:y;margin-left:300.45pt;margin-top:18.1pt;height:0.4pt;width:45.25pt;rotation:0f;z-index:-251650048;"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rect id="Rectangle 1083" o:spid="_x0000_s1063" style="position:absolute;left:0;margin-left:345.75pt;margin-top:8.25pt;height:20.9pt;width:50.15pt;rotation:0f;z-index:-251651072;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both"/>
                    <w:rPr>
                      <w:rFonts w:hint="eastAsia"/>
                      <w:sz w:val="22"/>
                      <w:szCs w:val="22"/>
                      <w:lang w:eastAsia="zh-CN"/>
                    </w:rPr>
                  </w:pPr>
                  <w:r>
                    <w:rPr>
                      <w:rFonts w:hint="eastAsia"/>
                      <w:sz w:val="22"/>
                      <w:szCs w:val="22"/>
                      <w:lang w:eastAsia="zh-CN"/>
                    </w:rPr>
                    <w:t>节能司通信司</w:t>
                  </w:r>
                </w:p>
              </w:txbxContent>
            </v:textbox>
          </v:rect>
        </w:pict>
      </w:r>
      <w:r>
        <w:rPr>
          <w:rFonts w:ascii="Times New Roman" w:hAnsi="Times New Roman" w:eastAsia="华文仿宋" w:cs="Times New Roman"/>
          <w:kern w:val="2"/>
          <w:sz w:val="21"/>
          <w:szCs w:val="22"/>
          <w:lang w:val="en-US" w:eastAsia="zh-CN" w:bidi="ar-SA"/>
        </w:rPr>
        <w:pict>
          <v:rect id="Rectangle 1068" o:spid="_x0000_s1064" style="position:absolute;left:0;margin-left:346.25pt;margin-top:63.65pt;height:20.8pt;width:49.25pt;rotation:0f;z-index:251685888;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both"/>
                    <w:rPr>
                      <w:rFonts w:hint="eastAsia"/>
                      <w:sz w:val="22"/>
                      <w:szCs w:val="22"/>
                      <w:lang w:eastAsia="zh-CN"/>
                    </w:rPr>
                  </w:pPr>
                  <w:r>
                    <w:rPr>
                      <w:rFonts w:hint="eastAsia"/>
                      <w:sz w:val="22"/>
                      <w:szCs w:val="22"/>
                      <w:lang w:eastAsia="zh-CN"/>
                    </w:rPr>
                    <w:t>信管局</w:t>
                  </w:r>
                </w:p>
              </w:txbxContent>
            </v:textbox>
          </v:rect>
        </w:pict>
      </w:r>
      <w:r>
        <w:rPr>
          <w:rFonts w:ascii="Times New Roman" w:hAnsi="Times New Roman" w:eastAsia="华文仿宋" w:cs="Times New Roman"/>
          <w:kern w:val="2"/>
          <w:sz w:val="21"/>
          <w:szCs w:val="22"/>
          <w:lang w:val="en-US" w:eastAsia="zh-CN" w:bidi="ar-SA"/>
        </w:rPr>
        <w:pict>
          <v:rect id="Rectangle 1070" o:spid="_x0000_s1065" style="position:absolute;left:0;margin-left:345.75pt;margin-top:36.25pt;height:20.9pt;width:50.15pt;rotation:0f;z-index:251684864;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both"/>
                    <w:rPr>
                      <w:rFonts w:hint="eastAsia"/>
                      <w:sz w:val="22"/>
                      <w:szCs w:val="22"/>
                      <w:lang w:eastAsia="zh-CN"/>
                    </w:rPr>
                  </w:pPr>
                  <w:r>
                    <w:rPr>
                      <w:rFonts w:hint="eastAsia"/>
                      <w:sz w:val="22"/>
                      <w:szCs w:val="22"/>
                      <w:lang w:eastAsia="zh-CN"/>
                    </w:rPr>
                    <w:t>通信司</w:t>
                  </w:r>
                </w:p>
              </w:txbxContent>
            </v:textbox>
          </v:rect>
        </w:pict>
      </w:r>
      <w:r>
        <w:rPr>
          <w:rFonts w:ascii="Times New Roman" w:hAnsi="Times New Roman" w:eastAsia="华文仿宋" w:cs="Times New Roman"/>
          <w:kern w:val="2"/>
          <w:sz w:val="21"/>
          <w:szCs w:val="22"/>
          <w:lang w:val="en-US" w:eastAsia="zh-CN" w:bidi="ar-SA"/>
        </w:rPr>
        <w:pict>
          <v:roundrect id="Rounded Rectangle 1061" o:spid="_x0000_s1066" style="position:absolute;left:0;margin-left:311.5pt;margin-top:93.6pt;height:48.55pt;width:76.55pt;rotation:0f;z-index:-251649024;v-text-anchor:middle;" o:ole="f" fillcolor="#FFFFFF" filled="t" o:preferrelative="t" stroked="t" coordsize="21600,21600" arcsize="16.6666666666667%">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sz w:val="22"/>
                      <w:szCs w:val="22"/>
                      <w:lang w:val="en-US" w:eastAsia="zh-CN"/>
                    </w:rPr>
                  </w:pPr>
                  <w:r>
                    <w:rPr>
                      <w:rFonts w:hint="eastAsia"/>
                      <w:sz w:val="22"/>
                      <w:szCs w:val="22"/>
                      <w:lang w:val="en-US" w:eastAsia="zh-CN"/>
                    </w:rPr>
                    <w:t>评审意见送协办司局</w:t>
                  </w:r>
                </w:p>
              </w:txbxContent>
            </v:textbox>
          </v:roundrect>
        </w:pict>
      </w:r>
      <w:r>
        <w:rPr>
          <w:rFonts w:ascii="Times New Roman" w:hAnsi="Times New Roman" w:eastAsia="华文仿宋" w:cs="Times New Roman"/>
          <w:kern w:val="2"/>
          <w:sz w:val="21"/>
          <w:szCs w:val="22"/>
          <w:lang w:val="en-US" w:eastAsia="zh-CN" w:bidi="ar-SA"/>
        </w:rPr>
        <w:pict>
          <v:shape id="Quad Arrow 1080" o:spid="_x0000_s1067" type="#_x0000_t202" style="position:absolute;left:0;margin-left:216.95pt;margin-top:284pt;height:37.3pt;width:36.4pt;rotation:0f;z-index:-251654144;"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华文仿宋"/>
                      <w:sz w:val="18"/>
                      <w:szCs w:val="18"/>
                      <w:lang w:val="en-US" w:eastAsia="zh-CN"/>
                    </w:rPr>
                  </w:pPr>
                  <w:r>
                    <w:rPr>
                      <w:rFonts w:hint="eastAsia"/>
                      <w:sz w:val="18"/>
                      <w:szCs w:val="18"/>
                      <w:lang w:val="en-US" w:eastAsia="zh-CN"/>
                    </w:rPr>
                    <w:t>否</w:t>
                  </w:r>
                </w:p>
              </w:txbxContent>
            </v:textbox>
          </v:shape>
        </w:pict>
      </w:r>
      <w:r>
        <w:rPr>
          <w:rFonts w:ascii="Times New Roman" w:hAnsi="Times New Roman" w:eastAsia="华文仿宋" w:cs="Times New Roman"/>
          <w:kern w:val="2"/>
          <w:sz w:val="21"/>
          <w:szCs w:val="22"/>
          <w:lang w:val="en-US" w:eastAsia="zh-CN" w:bidi="ar-SA"/>
        </w:rPr>
        <w:pict>
          <v:shape id="Quad Arrow 1079" o:spid="_x0000_s1068" type="#_x0000_t202" style="position:absolute;left:0;margin-left:106.45pt;margin-top:233pt;height:37.3pt;width:36.4pt;rotation:0f;z-index:251672576;"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华文仿宋"/>
                      <w:sz w:val="18"/>
                      <w:szCs w:val="18"/>
                      <w:lang w:val="en-US" w:eastAsia="zh-CN"/>
                    </w:rPr>
                  </w:pPr>
                  <w:r>
                    <w:rPr>
                      <w:rFonts w:hint="eastAsia"/>
                      <w:sz w:val="18"/>
                      <w:szCs w:val="18"/>
                      <w:lang w:val="en-US" w:eastAsia="zh-CN"/>
                    </w:rPr>
                    <w:t>是</w:t>
                  </w:r>
                </w:p>
              </w:txbxContent>
            </v:textbox>
          </v:shape>
        </w:pict>
      </w:r>
      <w:r>
        <w:rPr>
          <w:rFonts w:ascii="Times New Roman" w:hAnsi="Times New Roman" w:eastAsia="华文仿宋" w:cs="Times New Roman"/>
          <w:kern w:val="2"/>
          <w:sz w:val="21"/>
          <w:szCs w:val="22"/>
          <w:lang w:val="en-US" w:eastAsia="zh-CN" w:bidi="ar-SA"/>
        </w:rPr>
        <w:pict>
          <v:shape id="Quad Arrow 1077" o:spid="_x0000_s1069" type="#_x0000_t202" style="position:absolute;left:0;margin-left:76.95pt;margin-top:133pt;height:37.3pt;width:36.4pt;rotation:0f;z-index:251674624;"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华文仿宋"/>
                      <w:sz w:val="18"/>
                      <w:szCs w:val="18"/>
                      <w:lang w:val="en-US" w:eastAsia="zh-CN"/>
                    </w:rPr>
                  </w:pPr>
                  <w:r>
                    <w:rPr>
                      <w:rFonts w:hint="eastAsia"/>
                      <w:sz w:val="18"/>
                      <w:szCs w:val="18"/>
                      <w:lang w:val="en-US" w:eastAsia="zh-CN"/>
                    </w:rPr>
                    <w:t>否</w:t>
                  </w:r>
                </w:p>
              </w:txbxContent>
            </v:textbox>
          </v:shape>
        </w:pict>
      </w:r>
      <w:r>
        <w:rPr>
          <w:rFonts w:ascii="Times New Roman" w:hAnsi="Times New Roman" w:eastAsia="华文仿宋" w:cs="Times New Roman"/>
          <w:kern w:val="2"/>
          <w:sz w:val="21"/>
          <w:szCs w:val="22"/>
          <w:lang w:val="en-US" w:eastAsia="zh-CN" w:bidi="ar-SA"/>
        </w:rPr>
        <w:pict>
          <v:shape id="Straight Connector 1045" o:spid="_x0000_s1070" type="#_x0000_t32" style="position:absolute;left:0;margin-left:217.7pt;margin-top:206.6pt;height:33pt;width:0.65pt;rotation:0f;z-index:251697152;"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rect id="Rectangle 1056" o:spid="_x0000_s1071" style="position:absolute;left:0;margin-left:292.35pt;margin-top:159.2pt;height:65.1pt;width:114.7pt;rotation:0f;z-index:251700224;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both"/>
                    <w:rPr>
                      <w:rFonts w:hint="eastAsia"/>
                      <w:sz w:val="22"/>
                      <w:szCs w:val="22"/>
                      <w:lang w:eastAsia="zh-CN"/>
                    </w:rPr>
                  </w:pPr>
                  <w:r>
                    <w:rPr>
                      <w:rFonts w:hint="eastAsia"/>
                      <w:sz w:val="22"/>
                      <w:szCs w:val="22"/>
                      <w:lang w:val="en-US" w:eastAsia="zh-CN"/>
                    </w:rPr>
                    <w:t>协办司局在3个工作日内向主办司局出具协办意见</w:t>
                  </w:r>
                </w:p>
              </w:txbxContent>
            </v:textbox>
          </v:rect>
        </w:pict>
      </w:r>
      <w:r>
        <w:rPr>
          <w:rFonts w:ascii="Times New Roman" w:hAnsi="Times New Roman" w:eastAsia="华文仿宋" w:cs="Times New Roman"/>
          <w:kern w:val="2"/>
          <w:sz w:val="21"/>
          <w:szCs w:val="22"/>
          <w:lang w:val="en-US" w:eastAsia="zh-CN" w:bidi="ar-SA"/>
        </w:rPr>
        <w:pict>
          <v:roundrect id="Rounded Rectangle 1033" o:spid="_x0000_s1072" style="position:absolute;left:0;margin-left:-10.25pt;margin-top:301.95pt;height:43.4pt;width:102.3pt;rotation:0f;z-index:-251656192;v-text-anchor:middle;" o:ole="f" fillcolor="#FFFFFF" filled="t" o:preferrelative="t" stroked="t" coordsize="21600,21600" arcsize="16.6666666666667%">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color w:val="000000"/>
                      <w:sz w:val="22"/>
                      <w:szCs w:val="22"/>
                      <w:lang w:val="en-US" w:eastAsia="zh-CN"/>
                    </w:rPr>
                  </w:pPr>
                  <w:r>
                    <w:rPr>
                      <w:rFonts w:hint="eastAsia"/>
                      <w:color w:val="000000"/>
                      <w:sz w:val="22"/>
                      <w:szCs w:val="22"/>
                      <w:lang w:val="en-US" w:eastAsia="zh-CN"/>
                    </w:rPr>
                    <w:t>延时结果通知申请单位</w:t>
                  </w:r>
                </w:p>
              </w:txbxContent>
            </v:textbox>
          </v:roundrect>
        </w:pict>
      </w:r>
      <w:r>
        <w:rPr>
          <w:rFonts w:ascii="Times New Roman" w:hAnsi="Times New Roman" w:eastAsia="华文仿宋" w:cs="Times New Roman"/>
          <w:kern w:val="2"/>
          <w:sz w:val="21"/>
          <w:szCs w:val="22"/>
          <w:lang w:val="en-US" w:eastAsia="zh-CN" w:bidi="ar-SA"/>
        </w:rPr>
        <w:pict>
          <v:roundrect id="Rounded Rectangle 1038" o:spid="_x0000_s1073" style="position:absolute;left:0;margin-left:-19.7pt;margin-top:238.35pt;height:46.4pt;width:121pt;rotation:0f;z-index:251688960;v-text-anchor:middle;" o:ole="f" fillcolor="#FFFFFF" filled="t" o:preferrelative="t" stroked="t" coordsize="21600,21600" arcsize="16.6666666666667%">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sz w:val="22"/>
                      <w:szCs w:val="22"/>
                      <w:lang w:val="en-US" w:eastAsia="zh-CN"/>
                    </w:rPr>
                  </w:pPr>
                  <w:r>
                    <w:rPr>
                      <w:rFonts w:hint="eastAsia"/>
                      <w:sz w:val="22"/>
                      <w:szCs w:val="22"/>
                      <w:lang w:val="en-US" w:eastAsia="zh-CN"/>
                    </w:rPr>
                    <w:t>报请主管部领导申请延时</w:t>
                  </w:r>
                </w:p>
              </w:txbxContent>
            </v:textbox>
          </v:roundrect>
        </w:pict>
      </w:r>
      <w:r>
        <w:rPr>
          <w:rFonts w:ascii="Times New Roman" w:hAnsi="Times New Roman" w:eastAsia="华文仿宋" w:cs="Times New Roman"/>
          <w:kern w:val="2"/>
          <w:sz w:val="21"/>
          <w:szCs w:val="22"/>
          <w:lang w:val="en-US" w:eastAsia="zh-CN" w:bidi="ar-SA"/>
        </w:rPr>
        <w:pict>
          <v:shape id="Flowchart: Terminator 1043" o:spid="_x0000_s1074" type="#_x0000_t116" style="position:absolute;left:0;margin-left:132.35pt;margin-top:362.25pt;height:57.35pt;width:171.55pt;rotation:0f;z-index:251702272;v-text-anchor:middle;" o:ole="f" fillcolor="#FFFFFF" filled="t" o:preferrelative="t" stroked="t" coordorigin="0,0"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sz w:val="22"/>
                      <w:szCs w:val="22"/>
                      <w:lang w:val="en-US" w:eastAsia="zh-CN"/>
                    </w:rPr>
                  </w:pPr>
                  <w:r>
                    <w:rPr>
                      <w:rFonts w:hint="eastAsia"/>
                      <w:sz w:val="22"/>
                      <w:szCs w:val="22"/>
                      <w:lang w:val="en-US" w:eastAsia="zh-CN"/>
                    </w:rPr>
                    <w:t>规划司将审查意见文件发申请单位并抄送协办司局</w:t>
                  </w:r>
                </w:p>
              </w:txbxContent>
            </v:textbox>
          </v:shape>
        </w:pict>
      </w:r>
      <w:r>
        <w:rPr>
          <w:rFonts w:ascii="Times New Roman" w:hAnsi="Times New Roman" w:eastAsia="华文仿宋" w:cs="Times New Roman"/>
          <w:kern w:val="2"/>
          <w:sz w:val="21"/>
          <w:szCs w:val="22"/>
          <w:lang w:val="en-US" w:eastAsia="zh-CN" w:bidi="ar-SA"/>
        </w:rPr>
        <w:pict>
          <v:rect id="Rectangle 1042" o:spid="_x0000_s1075" style="position:absolute;left:0;margin-left:133.9pt;margin-top:310.2pt;height:26pt;width:168.85pt;rotation:0f;z-index:251689984;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both"/>
                    <w:rPr>
                      <w:rFonts w:hint="eastAsia" w:eastAsia="宋体"/>
                      <w:sz w:val="22"/>
                      <w:szCs w:val="22"/>
                      <w:lang w:eastAsia="zh-CN"/>
                    </w:rPr>
                  </w:pPr>
                  <w:r>
                    <w:rPr>
                      <w:rFonts w:hint="eastAsia"/>
                      <w:sz w:val="22"/>
                      <w:szCs w:val="22"/>
                      <w:lang w:eastAsia="zh-CN"/>
                    </w:rPr>
                    <w:t>规划司行文办复（会签协办司局）</w:t>
                  </w:r>
                </w:p>
              </w:txbxContent>
            </v:textbox>
          </v:rect>
        </w:pict>
      </w:r>
      <w:r>
        <w:rPr>
          <w:rFonts w:ascii="Times New Roman" w:hAnsi="Times New Roman" w:eastAsia="华文仿宋" w:cs="Times New Roman"/>
          <w:kern w:val="2"/>
          <w:sz w:val="21"/>
          <w:szCs w:val="22"/>
          <w:lang w:val="en-US" w:eastAsia="zh-CN" w:bidi="ar-SA"/>
        </w:rPr>
        <w:pict>
          <v:shape id="Diamond 1041" o:spid="_x0000_s1076" type="#_x0000_t4" style="position:absolute;left:0;margin-left:138.4pt;margin-top:239.6pt;height:43.55pt;width:159.85pt;rotation:0f;z-index:251687936;v-text-anchor:middle;" o:ole="f" fillcolor="#FFFFFF" filled="t" o:preferrelative="t" stroked="t" coordorigin="0,0"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both"/>
                    <w:rPr>
                      <w:rFonts w:hint="eastAsia" w:eastAsia="宋体"/>
                      <w:sz w:val="22"/>
                      <w:szCs w:val="22"/>
                      <w:lang w:eastAsia="zh-CN"/>
                    </w:rPr>
                  </w:pPr>
                  <w:r>
                    <w:rPr>
                      <w:rFonts w:hint="eastAsia"/>
                      <w:sz w:val="22"/>
                      <w:szCs w:val="22"/>
                      <w:lang w:eastAsia="zh-CN"/>
                    </w:rPr>
                    <w:t>是否需要延时</w:t>
                  </w:r>
                </w:p>
              </w:txbxContent>
            </v:textbox>
          </v:shape>
        </w:pict>
      </w:r>
      <w:r>
        <w:rPr>
          <w:rFonts w:ascii="Times New Roman" w:hAnsi="Times New Roman" w:eastAsia="华文仿宋" w:cs="Times New Roman"/>
          <w:kern w:val="2"/>
          <w:sz w:val="21"/>
          <w:szCs w:val="22"/>
          <w:lang w:val="en-US" w:eastAsia="zh-CN" w:bidi="ar-SA"/>
        </w:rPr>
        <w:pict>
          <v:shape id="Elbow Connector 1075" o:spid="_x0000_s1077" type="#_x0000_t34" style="position:absolute;left:0;margin-left:118.8pt;margin-top:12.1pt;height:128.3pt;width:30.65pt;rotation:5898240f;z-index:251707392;" o:ole="f" fillcolor="#FFFFFF" filled="t" o:preferrelative="t" stroked="t" coordorigin="0,0" coordsize="21600,21600" adj="108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rect id="Rectangle 1057" o:spid="_x0000_s1078" style="position:absolute;left:0;margin-left:49.1pt;margin-top:177.8pt;height:28.2pt;width:202.8pt;rotation:0f;z-index:251686912;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sz w:val="22"/>
                      <w:szCs w:val="22"/>
                      <w:lang w:eastAsia="zh-CN"/>
                    </w:rPr>
                  </w:pPr>
                  <w:r>
                    <w:rPr>
                      <w:rFonts w:hint="eastAsia"/>
                      <w:sz w:val="22"/>
                      <w:szCs w:val="22"/>
                      <w:lang w:eastAsia="zh-CN"/>
                    </w:rPr>
                    <w:t>各方意见汇总至规划司</w:t>
                  </w:r>
                </w:p>
              </w:txbxContent>
            </v:textbox>
          </v:rect>
        </w:pict>
      </w:r>
      <w:r>
        <w:rPr>
          <w:rFonts w:ascii="Times New Roman" w:hAnsi="Times New Roman" w:eastAsia="华文仿宋" w:cs="Times New Roman"/>
          <w:kern w:val="2"/>
          <w:sz w:val="21"/>
          <w:szCs w:val="22"/>
          <w:lang w:val="en-US" w:eastAsia="zh-CN" w:bidi="ar-SA"/>
        </w:rPr>
        <w:pict>
          <v:shape id="Straight Connector 1058" o:spid="_x0000_s1079" type="#_x0000_t32" style="position:absolute;left:0;margin-left:246.45pt;margin-top:117.65pt;height:0.25pt;width:65.05pt;rotation:0f;z-index:-251657216;"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67" o:spid="_x0000_s1080" type="#_x0000_t32" style="position:absolute;left:0;margin-left:300.35pt;margin-top:73.85pt;height:0.2pt;width:45.9pt;rotation:0f;z-index:-251655168;" o:ole="f" fillcolor="#FFFFFF" filled="t" o:preferrelative="t" stroked="t" coordorigin="0,0" coordsize="21600,21600">
            <v:stroke weight="0.25pt" color="#000000" color2="#FFFFFF" miterlimit="2" endarrow="open"/>
            <v:imagedata gain="65536f" blacklevel="0f" gamma="0"/>
            <o:lock v:ext="edit" position="f" selection="f" grouping="f" rotation="f" cropping="f" text="f" aspectratio="f"/>
          </v:shape>
        </w:pict>
      </w:r>
    </w:p>
    <w:bookmarkEnd w:id="39"/>
    <w:p>
      <w:pPr>
        <w:pStyle w:val="3"/>
        <w:numPr>
          <w:ilvl w:val="0"/>
          <w:numId w:val="0"/>
        </w:numPr>
        <w:spacing w:before="156"/>
        <w:ind w:left="560" w:leftChars="200"/>
      </w:pPr>
      <w:bookmarkStart w:id="40" w:name="_Toc32481"/>
      <w:r>
        <w:rPr>
          <w:rFonts w:hint="eastAsia"/>
        </w:rPr>
        <w:t>附录</w:t>
      </w:r>
      <w:r>
        <w:rPr>
          <w:rFonts w:hint="eastAsia"/>
          <w:lang w:eastAsia="zh-CN"/>
        </w:rPr>
        <w:t>二</w:t>
      </w:r>
      <w:r>
        <w:rPr>
          <w:rFonts w:hint="eastAsia"/>
        </w:rPr>
        <w:t>：示范文本</w:t>
      </w:r>
      <w:bookmarkEnd w:id="40"/>
    </w:p>
    <w:p>
      <w:pPr>
        <w:spacing w:line="20" w:lineRule="exact"/>
        <w:ind w:firstLine="420"/>
        <w:rPr>
          <w:rFonts w:eastAsia="宋体"/>
          <w:sz w:val="21"/>
          <w:szCs w:val="21"/>
        </w:rPr>
      </w:pPr>
    </w:p>
    <w:p>
      <w:pPr>
        <w:widowControl w:val="0"/>
        <w:wordWrap/>
        <w:adjustRightInd/>
        <w:snapToGrid/>
        <w:spacing w:line="288" w:lineRule="auto"/>
        <w:ind w:left="0" w:leftChars="0" w:right="0" w:firstLine="560" w:firstLineChars="200"/>
        <w:jc w:val="both"/>
        <w:textAlignment w:val="auto"/>
        <w:outlineLvl w:val="9"/>
        <w:rPr>
          <w:rFonts w:hint="eastAsia"/>
          <w:b/>
          <w:bCs/>
          <w:lang w:val="en-US" w:eastAsia="zh-CN"/>
        </w:rPr>
      </w:pPr>
      <w:r>
        <w:rPr>
          <w:rFonts w:hint="eastAsia"/>
          <w:b/>
          <w:bCs/>
          <w:lang w:val="en-US" w:eastAsia="zh-CN"/>
        </w:rPr>
        <w:t>省际干线传输网发展规划编制要求</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（一）规划应包含以下基本内容</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省际干线传输网规划中包含国际通信设施境内延伸段建设项目。传输网发展现状（容量、技术水平等）、传输网发展需求预测、传输网发展思路和目标、传输网路由图（含现状和规划）、规划期内传输网建设项目框架（路由、规模、建设时间、投资及资金筹措）。</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（二）规划应对当年情况做详细说明</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1、现状描述：上一年度省际干线传输网建设项目的完成情况；长途传输网现状，包括光缆、传输系统和枢纽楼终端设备配置情况及使用年限等，重点描述长途光缆网的使用情况及存在问题，简要描述传输网对业务的支撑情况。其中，进出藏光缆进展情况应详细描述。</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2、需求分析：各业务网对传输资源需求预测。</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3、规划思路：省际干线传输网的总体规划思路、发展目标，以及向目标网络演进的策略和步骤。</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4、建设方案：省际干线传输网的建设原则、建设方案及工程建设项目，分为光缆和传输系统（WDM、SDH）两个方面，重点描述长途光缆的建设项目，充分论证规划期内长途光缆的建设理由、建设方式（租、购、联建、自建）和经济性。</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5、投资估算：省际干线传输网的项目投资估算。</w:t>
      </w:r>
    </w:p>
    <w:p>
      <w:pPr>
        <w:spacing w:line="20" w:lineRule="exact"/>
      </w:pPr>
    </w:p>
    <w:p>
      <w:pPr>
        <w:pStyle w:val="3"/>
        <w:numPr>
          <w:ilvl w:val="0"/>
          <w:numId w:val="0"/>
        </w:numPr>
        <w:spacing w:before="156"/>
      </w:pPr>
      <w:r>
        <w:rPr>
          <w:rFonts w:hint="eastAsia"/>
          <w:lang w:val="en-US" w:eastAsia="zh-CN"/>
        </w:rPr>
        <w:t xml:space="preserve">    </w:t>
      </w:r>
      <w:bookmarkStart w:id="41" w:name="_Toc17830"/>
      <w:r>
        <w:rPr>
          <w:rFonts w:hint="eastAsia"/>
        </w:rPr>
        <w:t>附录</w:t>
      </w:r>
      <w:r>
        <w:rPr>
          <w:rFonts w:hint="eastAsia"/>
          <w:lang w:eastAsia="zh-CN"/>
        </w:rPr>
        <w:t>三</w:t>
      </w:r>
      <w:r>
        <w:rPr>
          <w:rFonts w:hint="eastAsia"/>
        </w:rPr>
        <w:t>：常见错误示例</w:t>
      </w:r>
      <w:bookmarkEnd w:id="41"/>
    </w:p>
    <w:p>
      <w:pPr>
        <w:widowControl w:val="0"/>
        <w:numPr>
          <w:numId w:val="0"/>
        </w:numPr>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（一）规划内容未包含传输网路由图（含现状和规划）。</w:t>
      </w:r>
    </w:p>
    <w:p>
      <w:pPr>
        <w:widowControl w:val="0"/>
        <w:numPr>
          <w:numId w:val="0"/>
        </w:numPr>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（二）未将当年</w:t>
      </w:r>
      <w:r>
        <w:rPr>
          <w:rFonts w:hint="default"/>
          <w:lang w:eastAsia="zh-CN"/>
        </w:rPr>
        <w:t>拟</w:t>
      </w:r>
      <w:r>
        <w:rPr>
          <w:rFonts w:hint="eastAsia"/>
          <w:lang w:val="en-US" w:eastAsia="zh-CN"/>
        </w:rPr>
        <w:t>建设的项目纳入规划中。</w:t>
      </w:r>
    </w:p>
    <w:p>
      <w:pPr>
        <w:pStyle w:val="3"/>
        <w:numPr>
          <w:ilvl w:val="0"/>
          <w:numId w:val="0"/>
        </w:numPr>
        <w:spacing w:before="156"/>
        <w:ind w:left="560" w:leftChars="200"/>
      </w:pPr>
      <w:bookmarkStart w:id="42" w:name="_Toc10634"/>
      <w:r>
        <w:rPr>
          <w:rFonts w:hint="eastAsia"/>
        </w:rPr>
        <w:t>附录</w:t>
      </w:r>
      <w:r>
        <w:rPr>
          <w:rFonts w:hint="eastAsia"/>
          <w:lang w:eastAsia="zh-CN"/>
        </w:rPr>
        <w:t>四</w:t>
      </w:r>
      <w:r>
        <w:rPr>
          <w:rFonts w:hint="eastAsia"/>
        </w:rPr>
        <w:t>：常见问题解答</w:t>
      </w:r>
      <w:bookmarkEnd w:id="42"/>
    </w:p>
    <w:p>
      <w:pPr>
        <w:numPr>
          <w:numId w:val="0"/>
        </w:numPr>
        <w:rPr>
          <w:rFonts w:hint="eastAsia"/>
          <w:highlight w:val="none"/>
          <w:lang w:val="en-US" w:eastAsia="zh-CN"/>
        </w:rPr>
      </w:pPr>
      <w:r>
        <w:rPr>
          <w:rFonts w:hint="eastAsia"/>
          <w:highlight w:val="none"/>
          <w:lang w:val="en-US" w:eastAsia="zh-CN"/>
        </w:rPr>
        <w:t xml:space="preserve">    对于国际通信基础设施项目，工业和信息化部是否</w:t>
      </w:r>
      <w:r>
        <w:rPr>
          <w:rFonts w:hint="default"/>
          <w:highlight w:val="none"/>
          <w:lang w:eastAsia="zh-CN"/>
        </w:rPr>
        <w:t>实</w:t>
      </w:r>
      <w:r>
        <w:rPr>
          <w:rFonts w:hint="eastAsia"/>
          <w:highlight w:val="none"/>
          <w:lang w:val="en-US" w:eastAsia="zh-CN"/>
        </w:rPr>
        <w:t>行以规划为依据，一揽子批复规划中当年项目的审查方式。</w:t>
      </w:r>
    </w:p>
    <w:p>
      <w:pPr>
        <w:numPr>
          <w:numId w:val="0"/>
        </w:numPr>
        <w:ind w:firstLine="560" w:firstLineChars="200"/>
        <w:rPr>
          <w:rFonts w:hint="eastAsia"/>
          <w:highlight w:val="none"/>
          <w:lang w:val="en-US" w:eastAsia="zh-CN"/>
        </w:rPr>
      </w:pPr>
      <w:r>
        <w:rPr>
          <w:rFonts w:hint="eastAsia"/>
          <w:highlight w:val="none"/>
        </w:rPr>
        <w:t>答：</w:t>
      </w:r>
      <w:r>
        <w:rPr>
          <w:rFonts w:hint="eastAsia"/>
          <w:highlight w:val="none"/>
          <w:lang w:val="en-US" w:eastAsia="zh-CN"/>
        </w:rPr>
        <w:t>对于国际通信基础设施项目，目前我部实行一事一审查的审查方式。</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华文仿宋">
    <w:altName w:val="仿宋"/>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auto"/>
    <w:pitch w:val="default"/>
    <w:sig w:usb0="00000001" w:usb1="080E0000" w:usb2="00000000" w:usb3="00000000" w:csb0="00040000" w:csb1="00000000"/>
  </w:font>
  <w:font w:name="隶书">
    <w:altName w:val="微软雅黑"/>
    <w:panose1 w:val="0201050906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ind w:firstLine="360"/>
    </w:pPr>
    <w:r>
      <w:rPr>
        <w:rFonts w:ascii="Times New Roman" w:hAnsi="Times New Roman" w:eastAsia="华文仿宋" w:cs="Times New Roman"/>
        <w:kern w:val="0"/>
        <w:sz w:val="18"/>
        <w:szCs w:val="22"/>
        <w:lang w:val="en-US" w:eastAsia="zh-CN" w:bidi="ar-SA"/>
      </w:rPr>
      <w:pict>
        <v:rect id="文本框 8" o:spid="_x0000_s1025"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0"/>
      <w:pBdr>
        <w:bottom w:val="single" w:color="auto" w:sz="4" w:space="1"/>
      </w:pBdr>
      <w:ind w:firstLine="360"/>
      <w:jc w:val="center"/>
      <w:rPr>
        <w:rFonts w:ascii="隶书" w:hAnsi="隶书" w:eastAsia="隶书" w:cs="隶书"/>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bottom w:val="single" w:color="auto" w:sz="4" w:space="0"/>
      </w:pBdr>
      <w:ind w:firstLine="0" w:firstLineChars="0"/>
      <w:jc w:val="center"/>
      <w:rPr>
        <w:rFonts w:ascii="隶书" w:hAnsi="隶书" w:eastAsia="隶书" w:cs="隶书"/>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97093462">
    <w:nsid w:val="593BD556"/>
    <w:multiLevelType w:val="singleLevel"/>
    <w:tmpl w:val="593BD556"/>
    <w:lvl w:ilvl="0" w:tentative="1">
      <w:start w:val="1"/>
      <w:numFmt w:val="decimal"/>
      <w:suff w:val="nothing"/>
      <w:lvlText w:val="（%1）"/>
      <w:lvlJc w:val="left"/>
    </w:lvl>
  </w:abstractNum>
  <w:abstractNum w:abstractNumId="1497093429">
    <w:nsid w:val="593BD535"/>
    <w:multiLevelType w:val="singleLevel"/>
    <w:tmpl w:val="593BD535"/>
    <w:lvl w:ilvl="0" w:tentative="1">
      <w:start w:val="3"/>
      <w:numFmt w:val="chineseCounting"/>
      <w:suff w:val="nothing"/>
      <w:lvlText w:val="（%1）"/>
      <w:lvlJc w:val="left"/>
    </w:lvl>
  </w:abstractNum>
  <w:abstractNum w:abstractNumId="1497093372">
    <w:nsid w:val="593BD4FC"/>
    <w:multiLevelType w:val="singleLevel"/>
    <w:tmpl w:val="593BD4FC"/>
    <w:lvl w:ilvl="0" w:tentative="1">
      <w:start w:val="1"/>
      <w:numFmt w:val="chineseCounting"/>
      <w:suff w:val="nothing"/>
      <w:lvlText w:val="（%1）"/>
      <w:lvlJc w:val="left"/>
    </w:lvl>
  </w:abstractNum>
  <w:abstractNum w:abstractNumId="1495375367">
    <w:nsid w:val="59219E07"/>
    <w:multiLevelType w:val="singleLevel"/>
    <w:tmpl w:val="59219E07"/>
    <w:lvl w:ilvl="0" w:tentative="1">
      <w:start w:val="1"/>
      <w:numFmt w:val="chineseCounting"/>
      <w:pStyle w:val="4"/>
      <w:suff w:val="nothing"/>
      <w:lvlText w:val="（%1）"/>
      <w:lvlJc w:val="left"/>
      <w:pPr>
        <w:ind w:left="0" w:firstLine="0"/>
      </w:pPr>
      <w:rPr>
        <w:rFonts w:hint="eastAsia"/>
      </w:rPr>
    </w:lvl>
  </w:abstractNum>
  <w:abstractNum w:abstractNumId="1497093144">
    <w:nsid w:val="593BD418"/>
    <w:multiLevelType w:val="singleLevel"/>
    <w:tmpl w:val="593BD418"/>
    <w:lvl w:ilvl="0" w:tentative="1">
      <w:start w:val="1"/>
      <w:numFmt w:val="chineseCounting"/>
      <w:suff w:val="nothing"/>
      <w:lvlText w:val="（%1）"/>
      <w:lvlJc w:val="left"/>
    </w:lvl>
  </w:abstractNum>
  <w:abstractNum w:abstractNumId="1497099793">
    <w:nsid w:val="593BEE11"/>
    <w:multiLevelType w:val="singleLevel"/>
    <w:tmpl w:val="593BEE11"/>
    <w:lvl w:ilvl="0" w:tentative="1">
      <w:start w:val="1"/>
      <w:numFmt w:val="chineseCounting"/>
      <w:suff w:val="nothing"/>
      <w:lvlText w:val="（%1）"/>
      <w:lvlJc w:val="left"/>
    </w:lvl>
  </w:abstractNum>
  <w:abstractNum w:abstractNumId="1495372560">
    <w:nsid w:val="59219310"/>
    <w:multiLevelType w:val="singleLevel"/>
    <w:tmpl w:val="59219310"/>
    <w:lvl w:ilvl="0" w:tentative="1">
      <w:start w:val="1"/>
      <w:numFmt w:val="chineseCounting"/>
      <w:suff w:val="nothing"/>
      <w:lvlText w:val="%1、"/>
      <w:lvlJc w:val="left"/>
    </w:lvl>
  </w:abstractNum>
  <w:abstractNum w:abstractNumId="1495500044">
    <w:nsid w:val="5923850C"/>
    <w:multiLevelType w:val="singleLevel"/>
    <w:tmpl w:val="5923850C"/>
    <w:lvl w:ilvl="0" w:tentative="1">
      <w:start w:val="1"/>
      <w:numFmt w:val="chineseCounting"/>
      <w:pStyle w:val="3"/>
      <w:suff w:val="nothing"/>
      <w:lvlText w:val="%1、"/>
      <w:lvlJc w:val="left"/>
      <w:pPr>
        <w:tabs>
          <w:tab w:val="left" w:pos="0"/>
        </w:tabs>
        <w:ind w:left="0" w:firstLine="0"/>
      </w:pPr>
      <w:rPr>
        <w:rFonts w:hint="eastAsia" w:eastAsia="黑体"/>
        <w:b/>
        <w:sz w:val="28"/>
      </w:rPr>
    </w:lvl>
  </w:abstractNum>
  <w:abstractNum w:abstractNumId="1497093569">
    <w:nsid w:val="593BD5C1"/>
    <w:multiLevelType w:val="singleLevel"/>
    <w:tmpl w:val="593BD5C1"/>
    <w:lvl w:ilvl="0" w:tentative="1">
      <w:start w:val="1"/>
      <w:numFmt w:val="decimal"/>
      <w:suff w:val="nothing"/>
      <w:lvlText w:val="%1、"/>
      <w:lvlJc w:val="left"/>
    </w:lvl>
  </w:abstractNum>
  <w:abstractNum w:abstractNumId="1495500068">
    <w:nsid w:val="59238524"/>
    <w:multiLevelType w:val="singleLevel"/>
    <w:tmpl w:val="59238524"/>
    <w:lvl w:ilvl="0" w:tentative="1">
      <w:start w:val="1"/>
      <w:numFmt w:val="chineseCounting"/>
      <w:suff w:val="nothing"/>
      <w:lvlText w:val="%1、"/>
      <w:lvlJc w:val="left"/>
      <w:pPr>
        <w:ind w:left="0" w:firstLine="0"/>
      </w:pPr>
      <w:rPr>
        <w:rFonts w:hint="eastAsia"/>
      </w:rPr>
    </w:lvl>
  </w:abstractNum>
  <w:num w:numId="1">
    <w:abstractNumId w:val="1495500044"/>
  </w:num>
  <w:num w:numId="2">
    <w:abstractNumId w:val="1495375367"/>
  </w:num>
  <w:num w:numId="3">
    <w:abstractNumId w:val="1495372560"/>
  </w:num>
  <w:num w:numId="4">
    <w:abstractNumId w:val="1495500068"/>
  </w:num>
  <w:num w:numId="5">
    <w:abstractNumId w:val="1497099793"/>
  </w:num>
  <w:num w:numId="6">
    <w:abstractNumId w:val="1497093144"/>
  </w:num>
  <w:num w:numId="7">
    <w:abstractNumId w:val="1497093372"/>
  </w:num>
  <w:num w:numId="8">
    <w:abstractNumId w:val="1497093429"/>
  </w:num>
  <w:num w:numId="9">
    <w:abstractNumId w:val="1497093569"/>
  </w:num>
  <w:num w:numId="10">
    <w:abstractNumId w:val="14970934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0172A27"/>
    <w:rsid w:val="002150C4"/>
    <w:rsid w:val="002A0107"/>
    <w:rsid w:val="002F35B2"/>
    <w:rsid w:val="003C2918"/>
    <w:rsid w:val="003C3BB2"/>
    <w:rsid w:val="003E7119"/>
    <w:rsid w:val="00421BD0"/>
    <w:rsid w:val="00590A8E"/>
    <w:rsid w:val="005B74C1"/>
    <w:rsid w:val="00660A8C"/>
    <w:rsid w:val="00671C5B"/>
    <w:rsid w:val="00747150"/>
    <w:rsid w:val="007C79EE"/>
    <w:rsid w:val="00845E01"/>
    <w:rsid w:val="009A602D"/>
    <w:rsid w:val="009D790C"/>
    <w:rsid w:val="009E55EE"/>
    <w:rsid w:val="00A713D0"/>
    <w:rsid w:val="00AD3895"/>
    <w:rsid w:val="00B32595"/>
    <w:rsid w:val="00B53FA2"/>
    <w:rsid w:val="00B85776"/>
    <w:rsid w:val="00C66D1B"/>
    <w:rsid w:val="00CB21FC"/>
    <w:rsid w:val="00CE0BF1"/>
    <w:rsid w:val="00F142A9"/>
    <w:rsid w:val="00FA0BF5"/>
    <w:rsid w:val="01011150"/>
    <w:rsid w:val="010B0B8D"/>
    <w:rsid w:val="01124864"/>
    <w:rsid w:val="01234BE3"/>
    <w:rsid w:val="0155444A"/>
    <w:rsid w:val="015E2B79"/>
    <w:rsid w:val="015F695D"/>
    <w:rsid w:val="01857340"/>
    <w:rsid w:val="01AF45DE"/>
    <w:rsid w:val="01BB3495"/>
    <w:rsid w:val="01C36D9A"/>
    <w:rsid w:val="01D22F46"/>
    <w:rsid w:val="01E87E79"/>
    <w:rsid w:val="020C43CF"/>
    <w:rsid w:val="02181123"/>
    <w:rsid w:val="021E5A4D"/>
    <w:rsid w:val="022B2C28"/>
    <w:rsid w:val="022E775B"/>
    <w:rsid w:val="0239063B"/>
    <w:rsid w:val="024F400D"/>
    <w:rsid w:val="026677D0"/>
    <w:rsid w:val="028674E5"/>
    <w:rsid w:val="028D39AF"/>
    <w:rsid w:val="02953581"/>
    <w:rsid w:val="029753DC"/>
    <w:rsid w:val="0298688C"/>
    <w:rsid w:val="029B5059"/>
    <w:rsid w:val="02A15034"/>
    <w:rsid w:val="02A51E4D"/>
    <w:rsid w:val="02CF3DFA"/>
    <w:rsid w:val="02FA0334"/>
    <w:rsid w:val="03343A85"/>
    <w:rsid w:val="037B0415"/>
    <w:rsid w:val="039B0B66"/>
    <w:rsid w:val="039E4323"/>
    <w:rsid w:val="03A94B62"/>
    <w:rsid w:val="03BD1A1D"/>
    <w:rsid w:val="03BE3C7A"/>
    <w:rsid w:val="03CA28F2"/>
    <w:rsid w:val="03E47FC7"/>
    <w:rsid w:val="03E921ED"/>
    <w:rsid w:val="03EB59BC"/>
    <w:rsid w:val="03EF5778"/>
    <w:rsid w:val="040C4A0D"/>
    <w:rsid w:val="042F3177"/>
    <w:rsid w:val="043719C1"/>
    <w:rsid w:val="043E6771"/>
    <w:rsid w:val="045C4AAE"/>
    <w:rsid w:val="046A39A7"/>
    <w:rsid w:val="04773A12"/>
    <w:rsid w:val="04782B2C"/>
    <w:rsid w:val="04917EFE"/>
    <w:rsid w:val="04926FF6"/>
    <w:rsid w:val="04B962AD"/>
    <w:rsid w:val="04DA664E"/>
    <w:rsid w:val="04DD0DDA"/>
    <w:rsid w:val="04DF5A37"/>
    <w:rsid w:val="04EE2470"/>
    <w:rsid w:val="04F57EB7"/>
    <w:rsid w:val="051D03A6"/>
    <w:rsid w:val="052D6E0E"/>
    <w:rsid w:val="05332382"/>
    <w:rsid w:val="054A7860"/>
    <w:rsid w:val="056E71E4"/>
    <w:rsid w:val="05965135"/>
    <w:rsid w:val="05970EC2"/>
    <w:rsid w:val="059724AA"/>
    <w:rsid w:val="05D14416"/>
    <w:rsid w:val="05DA0457"/>
    <w:rsid w:val="05FE71D0"/>
    <w:rsid w:val="06087CBF"/>
    <w:rsid w:val="063B1846"/>
    <w:rsid w:val="0647411A"/>
    <w:rsid w:val="06544486"/>
    <w:rsid w:val="06561A87"/>
    <w:rsid w:val="06584457"/>
    <w:rsid w:val="067A10FA"/>
    <w:rsid w:val="06980EB7"/>
    <w:rsid w:val="06A47BCE"/>
    <w:rsid w:val="06A51933"/>
    <w:rsid w:val="06B00447"/>
    <w:rsid w:val="06B41B23"/>
    <w:rsid w:val="06C02305"/>
    <w:rsid w:val="06C84B6F"/>
    <w:rsid w:val="06E20D8A"/>
    <w:rsid w:val="06FF4098"/>
    <w:rsid w:val="073C0040"/>
    <w:rsid w:val="07423C47"/>
    <w:rsid w:val="077027CB"/>
    <w:rsid w:val="07843CFD"/>
    <w:rsid w:val="07875E02"/>
    <w:rsid w:val="07BF12C2"/>
    <w:rsid w:val="07C10493"/>
    <w:rsid w:val="07C66747"/>
    <w:rsid w:val="07D734FE"/>
    <w:rsid w:val="07D74735"/>
    <w:rsid w:val="07FB2FED"/>
    <w:rsid w:val="07FF6D5E"/>
    <w:rsid w:val="081F2D76"/>
    <w:rsid w:val="08231930"/>
    <w:rsid w:val="082F63A7"/>
    <w:rsid w:val="0872520F"/>
    <w:rsid w:val="08791EB5"/>
    <w:rsid w:val="087B6264"/>
    <w:rsid w:val="08AC1908"/>
    <w:rsid w:val="08F51F0E"/>
    <w:rsid w:val="09072CBA"/>
    <w:rsid w:val="09082084"/>
    <w:rsid w:val="09216A54"/>
    <w:rsid w:val="092B10DA"/>
    <w:rsid w:val="0930255E"/>
    <w:rsid w:val="09416C2B"/>
    <w:rsid w:val="0943689F"/>
    <w:rsid w:val="09471D9E"/>
    <w:rsid w:val="09504D02"/>
    <w:rsid w:val="095731EA"/>
    <w:rsid w:val="095970FA"/>
    <w:rsid w:val="09932DF7"/>
    <w:rsid w:val="09AB6DAA"/>
    <w:rsid w:val="09AC3985"/>
    <w:rsid w:val="09B13157"/>
    <w:rsid w:val="09B55074"/>
    <w:rsid w:val="09CA261C"/>
    <w:rsid w:val="09D910C1"/>
    <w:rsid w:val="09E73AA3"/>
    <w:rsid w:val="09F92D7C"/>
    <w:rsid w:val="0A153246"/>
    <w:rsid w:val="0A59405B"/>
    <w:rsid w:val="0A646338"/>
    <w:rsid w:val="0A724E0B"/>
    <w:rsid w:val="0A98177D"/>
    <w:rsid w:val="0A9841F5"/>
    <w:rsid w:val="0AAB175A"/>
    <w:rsid w:val="0AB4198A"/>
    <w:rsid w:val="0AB61695"/>
    <w:rsid w:val="0AC30403"/>
    <w:rsid w:val="0AD8134A"/>
    <w:rsid w:val="0AE86271"/>
    <w:rsid w:val="0AEF19A1"/>
    <w:rsid w:val="0AF422EF"/>
    <w:rsid w:val="0B10318F"/>
    <w:rsid w:val="0B20658D"/>
    <w:rsid w:val="0B3F4ADB"/>
    <w:rsid w:val="0B4E6859"/>
    <w:rsid w:val="0B5204BA"/>
    <w:rsid w:val="0B5A62E8"/>
    <w:rsid w:val="0B684818"/>
    <w:rsid w:val="0B6C0915"/>
    <w:rsid w:val="0B783890"/>
    <w:rsid w:val="0B94510B"/>
    <w:rsid w:val="0BA75363"/>
    <w:rsid w:val="0BAA4622"/>
    <w:rsid w:val="0BBC066F"/>
    <w:rsid w:val="0BBE62DB"/>
    <w:rsid w:val="0BBF3A54"/>
    <w:rsid w:val="0BD6196C"/>
    <w:rsid w:val="0BE53C14"/>
    <w:rsid w:val="0C0C17DE"/>
    <w:rsid w:val="0C234D6D"/>
    <w:rsid w:val="0C3C7816"/>
    <w:rsid w:val="0C3E04AB"/>
    <w:rsid w:val="0C6723ED"/>
    <w:rsid w:val="0C7F1C85"/>
    <w:rsid w:val="0C8F15DE"/>
    <w:rsid w:val="0C91599A"/>
    <w:rsid w:val="0C9D5894"/>
    <w:rsid w:val="0CA27F9C"/>
    <w:rsid w:val="0CB5220E"/>
    <w:rsid w:val="0CB53EDD"/>
    <w:rsid w:val="0CBE7ECD"/>
    <w:rsid w:val="0CC354F7"/>
    <w:rsid w:val="0CD87190"/>
    <w:rsid w:val="0CE76300"/>
    <w:rsid w:val="0CF206DD"/>
    <w:rsid w:val="0D022BD9"/>
    <w:rsid w:val="0D237E3C"/>
    <w:rsid w:val="0D2E55FF"/>
    <w:rsid w:val="0D437B86"/>
    <w:rsid w:val="0D4B7CD7"/>
    <w:rsid w:val="0D4D32F4"/>
    <w:rsid w:val="0D6043C0"/>
    <w:rsid w:val="0D8F6B82"/>
    <w:rsid w:val="0DA35843"/>
    <w:rsid w:val="0DAF6335"/>
    <w:rsid w:val="0DB1090D"/>
    <w:rsid w:val="0DB210F0"/>
    <w:rsid w:val="0DBE394D"/>
    <w:rsid w:val="0DF448B0"/>
    <w:rsid w:val="0DF57C46"/>
    <w:rsid w:val="0E19015F"/>
    <w:rsid w:val="0E1F1E60"/>
    <w:rsid w:val="0E282FBA"/>
    <w:rsid w:val="0E2A0D62"/>
    <w:rsid w:val="0E382309"/>
    <w:rsid w:val="0E817C71"/>
    <w:rsid w:val="0E896A1F"/>
    <w:rsid w:val="0E8F15F0"/>
    <w:rsid w:val="0E92694D"/>
    <w:rsid w:val="0E941F39"/>
    <w:rsid w:val="0E9A2C5F"/>
    <w:rsid w:val="0EA578E8"/>
    <w:rsid w:val="0EB00795"/>
    <w:rsid w:val="0EB918BC"/>
    <w:rsid w:val="0EBB5936"/>
    <w:rsid w:val="0EBC5205"/>
    <w:rsid w:val="0EC1277D"/>
    <w:rsid w:val="0EC137A0"/>
    <w:rsid w:val="0EDD3323"/>
    <w:rsid w:val="0EE15967"/>
    <w:rsid w:val="0EEE6DF4"/>
    <w:rsid w:val="0EF92AE1"/>
    <w:rsid w:val="0F0D40A8"/>
    <w:rsid w:val="0F1F08D8"/>
    <w:rsid w:val="0F2C3939"/>
    <w:rsid w:val="0F2D3BEA"/>
    <w:rsid w:val="0F335C4E"/>
    <w:rsid w:val="0F345C79"/>
    <w:rsid w:val="0F395589"/>
    <w:rsid w:val="0F465E29"/>
    <w:rsid w:val="0F511294"/>
    <w:rsid w:val="0F536766"/>
    <w:rsid w:val="0F652D08"/>
    <w:rsid w:val="0F6D5EA6"/>
    <w:rsid w:val="0F7F2D16"/>
    <w:rsid w:val="0F7F6D44"/>
    <w:rsid w:val="0F8A1C99"/>
    <w:rsid w:val="0F8D1FD4"/>
    <w:rsid w:val="0F9A3596"/>
    <w:rsid w:val="0F9E6F1C"/>
    <w:rsid w:val="0FAA3278"/>
    <w:rsid w:val="0FAE7E6C"/>
    <w:rsid w:val="0FFE685F"/>
    <w:rsid w:val="10005BDC"/>
    <w:rsid w:val="10374549"/>
    <w:rsid w:val="106C233E"/>
    <w:rsid w:val="107426B3"/>
    <w:rsid w:val="107B0D21"/>
    <w:rsid w:val="107D7754"/>
    <w:rsid w:val="10855009"/>
    <w:rsid w:val="10A8243A"/>
    <w:rsid w:val="10BE3E04"/>
    <w:rsid w:val="10BF36F1"/>
    <w:rsid w:val="10DB1BE1"/>
    <w:rsid w:val="112947CF"/>
    <w:rsid w:val="113140F3"/>
    <w:rsid w:val="11377E81"/>
    <w:rsid w:val="11385896"/>
    <w:rsid w:val="11501174"/>
    <w:rsid w:val="11565AD4"/>
    <w:rsid w:val="116F4256"/>
    <w:rsid w:val="11753EAB"/>
    <w:rsid w:val="117F2F13"/>
    <w:rsid w:val="1182031A"/>
    <w:rsid w:val="11973095"/>
    <w:rsid w:val="11A9214E"/>
    <w:rsid w:val="11AF0F48"/>
    <w:rsid w:val="11C07227"/>
    <w:rsid w:val="11DF775E"/>
    <w:rsid w:val="120D06EF"/>
    <w:rsid w:val="121D6057"/>
    <w:rsid w:val="12310576"/>
    <w:rsid w:val="123F078F"/>
    <w:rsid w:val="12543403"/>
    <w:rsid w:val="125E7242"/>
    <w:rsid w:val="1274424E"/>
    <w:rsid w:val="12760A6A"/>
    <w:rsid w:val="12941305"/>
    <w:rsid w:val="12A36EEB"/>
    <w:rsid w:val="12A632A3"/>
    <w:rsid w:val="12B425EE"/>
    <w:rsid w:val="12CD5DD5"/>
    <w:rsid w:val="130E1D9D"/>
    <w:rsid w:val="13322374"/>
    <w:rsid w:val="13443827"/>
    <w:rsid w:val="1365726C"/>
    <w:rsid w:val="1373175A"/>
    <w:rsid w:val="13A62B68"/>
    <w:rsid w:val="13B7227E"/>
    <w:rsid w:val="13B737F0"/>
    <w:rsid w:val="13B97D6B"/>
    <w:rsid w:val="13F212AF"/>
    <w:rsid w:val="14137DE0"/>
    <w:rsid w:val="14211151"/>
    <w:rsid w:val="142D6844"/>
    <w:rsid w:val="144A626C"/>
    <w:rsid w:val="144C53E9"/>
    <w:rsid w:val="14555B62"/>
    <w:rsid w:val="147E0785"/>
    <w:rsid w:val="149432F6"/>
    <w:rsid w:val="14D82989"/>
    <w:rsid w:val="14EF569E"/>
    <w:rsid w:val="151135FD"/>
    <w:rsid w:val="15192716"/>
    <w:rsid w:val="1525230D"/>
    <w:rsid w:val="15270101"/>
    <w:rsid w:val="152E3D63"/>
    <w:rsid w:val="15325274"/>
    <w:rsid w:val="153524B6"/>
    <w:rsid w:val="154D0855"/>
    <w:rsid w:val="156E3012"/>
    <w:rsid w:val="157A7966"/>
    <w:rsid w:val="158723EE"/>
    <w:rsid w:val="159C0289"/>
    <w:rsid w:val="159C7389"/>
    <w:rsid w:val="15A43226"/>
    <w:rsid w:val="15A8749B"/>
    <w:rsid w:val="15AE178D"/>
    <w:rsid w:val="15BD2008"/>
    <w:rsid w:val="15F25A64"/>
    <w:rsid w:val="15FC0602"/>
    <w:rsid w:val="160374F6"/>
    <w:rsid w:val="16102593"/>
    <w:rsid w:val="16117F0B"/>
    <w:rsid w:val="16474E2C"/>
    <w:rsid w:val="16522E25"/>
    <w:rsid w:val="16694D43"/>
    <w:rsid w:val="167A3472"/>
    <w:rsid w:val="16822A40"/>
    <w:rsid w:val="1683075D"/>
    <w:rsid w:val="16855EAF"/>
    <w:rsid w:val="16911C35"/>
    <w:rsid w:val="169E6ED4"/>
    <w:rsid w:val="16BE185B"/>
    <w:rsid w:val="16CA7FBB"/>
    <w:rsid w:val="16ED455E"/>
    <w:rsid w:val="16F708E9"/>
    <w:rsid w:val="170B7C83"/>
    <w:rsid w:val="170C7A12"/>
    <w:rsid w:val="171703FC"/>
    <w:rsid w:val="171B742E"/>
    <w:rsid w:val="174F02E5"/>
    <w:rsid w:val="176E3FF8"/>
    <w:rsid w:val="178A73E2"/>
    <w:rsid w:val="178B59D8"/>
    <w:rsid w:val="178F2C2C"/>
    <w:rsid w:val="179E4078"/>
    <w:rsid w:val="17A97A20"/>
    <w:rsid w:val="17B56A1E"/>
    <w:rsid w:val="17C2332B"/>
    <w:rsid w:val="17F85C61"/>
    <w:rsid w:val="17F874E0"/>
    <w:rsid w:val="18105BD0"/>
    <w:rsid w:val="184F2D97"/>
    <w:rsid w:val="18550C33"/>
    <w:rsid w:val="185C6715"/>
    <w:rsid w:val="1860639C"/>
    <w:rsid w:val="18834D00"/>
    <w:rsid w:val="18877A2F"/>
    <w:rsid w:val="188806B8"/>
    <w:rsid w:val="18906FC7"/>
    <w:rsid w:val="18995A48"/>
    <w:rsid w:val="18A5506D"/>
    <w:rsid w:val="18AD2875"/>
    <w:rsid w:val="18B06B38"/>
    <w:rsid w:val="18B376F1"/>
    <w:rsid w:val="18B4580C"/>
    <w:rsid w:val="18CD6619"/>
    <w:rsid w:val="18D64E3D"/>
    <w:rsid w:val="18F96E62"/>
    <w:rsid w:val="19037BC0"/>
    <w:rsid w:val="19140E80"/>
    <w:rsid w:val="19154CC8"/>
    <w:rsid w:val="19181D4A"/>
    <w:rsid w:val="191A3D6E"/>
    <w:rsid w:val="193C6444"/>
    <w:rsid w:val="193E7035"/>
    <w:rsid w:val="19480E19"/>
    <w:rsid w:val="19654508"/>
    <w:rsid w:val="19673411"/>
    <w:rsid w:val="196F6F40"/>
    <w:rsid w:val="1982661C"/>
    <w:rsid w:val="19853233"/>
    <w:rsid w:val="19964043"/>
    <w:rsid w:val="19A14C10"/>
    <w:rsid w:val="19BE1DF9"/>
    <w:rsid w:val="19D60F6E"/>
    <w:rsid w:val="19E16FF9"/>
    <w:rsid w:val="19E957D4"/>
    <w:rsid w:val="19EF6712"/>
    <w:rsid w:val="19F73FC4"/>
    <w:rsid w:val="1A0816E5"/>
    <w:rsid w:val="1A25323B"/>
    <w:rsid w:val="1A430EA1"/>
    <w:rsid w:val="1A4B0D30"/>
    <w:rsid w:val="1A502660"/>
    <w:rsid w:val="1A6F4DF2"/>
    <w:rsid w:val="1A7053FE"/>
    <w:rsid w:val="1A736316"/>
    <w:rsid w:val="1A743D38"/>
    <w:rsid w:val="1A986FD7"/>
    <w:rsid w:val="1AA15BF7"/>
    <w:rsid w:val="1AA229F8"/>
    <w:rsid w:val="1AA42AEB"/>
    <w:rsid w:val="1AB10467"/>
    <w:rsid w:val="1AD95972"/>
    <w:rsid w:val="1ADB081E"/>
    <w:rsid w:val="1AFD15BE"/>
    <w:rsid w:val="1B03071D"/>
    <w:rsid w:val="1B1D041F"/>
    <w:rsid w:val="1B24383D"/>
    <w:rsid w:val="1B4A5416"/>
    <w:rsid w:val="1B5853B6"/>
    <w:rsid w:val="1B5F038B"/>
    <w:rsid w:val="1B65603C"/>
    <w:rsid w:val="1B7531B3"/>
    <w:rsid w:val="1B7E77CB"/>
    <w:rsid w:val="1B895A42"/>
    <w:rsid w:val="1B9A0737"/>
    <w:rsid w:val="1B9C0116"/>
    <w:rsid w:val="1BAD2F1E"/>
    <w:rsid w:val="1BB04318"/>
    <w:rsid w:val="1BD45581"/>
    <w:rsid w:val="1BEC136E"/>
    <w:rsid w:val="1BFF4A08"/>
    <w:rsid w:val="1C0748A2"/>
    <w:rsid w:val="1C0925B8"/>
    <w:rsid w:val="1C0D56AB"/>
    <w:rsid w:val="1C3C1CCB"/>
    <w:rsid w:val="1C454376"/>
    <w:rsid w:val="1C470FBD"/>
    <w:rsid w:val="1C567084"/>
    <w:rsid w:val="1C5C4C95"/>
    <w:rsid w:val="1C647E1B"/>
    <w:rsid w:val="1C813D2B"/>
    <w:rsid w:val="1C896760"/>
    <w:rsid w:val="1C8C429C"/>
    <w:rsid w:val="1CB2349F"/>
    <w:rsid w:val="1CBB2EC0"/>
    <w:rsid w:val="1CEE6E52"/>
    <w:rsid w:val="1CF41EE0"/>
    <w:rsid w:val="1D007588"/>
    <w:rsid w:val="1D0E1D11"/>
    <w:rsid w:val="1D102F75"/>
    <w:rsid w:val="1D215EF8"/>
    <w:rsid w:val="1D37455E"/>
    <w:rsid w:val="1D481EA3"/>
    <w:rsid w:val="1D6264CA"/>
    <w:rsid w:val="1D674D2B"/>
    <w:rsid w:val="1D6B5CC0"/>
    <w:rsid w:val="1D9966C6"/>
    <w:rsid w:val="1DBF6E54"/>
    <w:rsid w:val="1DE6317A"/>
    <w:rsid w:val="1DE76CB4"/>
    <w:rsid w:val="1E0444E1"/>
    <w:rsid w:val="1E1D3320"/>
    <w:rsid w:val="1E1F7BA9"/>
    <w:rsid w:val="1E525C52"/>
    <w:rsid w:val="1E607B5F"/>
    <w:rsid w:val="1E7C308A"/>
    <w:rsid w:val="1E7F2775"/>
    <w:rsid w:val="1E8F6FCD"/>
    <w:rsid w:val="1EAE65E1"/>
    <w:rsid w:val="1ECE27A8"/>
    <w:rsid w:val="1ED7606D"/>
    <w:rsid w:val="1EF52E08"/>
    <w:rsid w:val="1F0F0242"/>
    <w:rsid w:val="1F1B0C84"/>
    <w:rsid w:val="1F311D18"/>
    <w:rsid w:val="1F3D21ED"/>
    <w:rsid w:val="1F4A4348"/>
    <w:rsid w:val="1F520A54"/>
    <w:rsid w:val="1F5257E9"/>
    <w:rsid w:val="1F626BF9"/>
    <w:rsid w:val="1F7A38AD"/>
    <w:rsid w:val="1F7A71B2"/>
    <w:rsid w:val="1FAD7C5B"/>
    <w:rsid w:val="1FB26C6B"/>
    <w:rsid w:val="1FBA521A"/>
    <w:rsid w:val="1FBB364F"/>
    <w:rsid w:val="1FE223DD"/>
    <w:rsid w:val="1FE734C9"/>
    <w:rsid w:val="201841F3"/>
    <w:rsid w:val="2036386B"/>
    <w:rsid w:val="2048378A"/>
    <w:rsid w:val="204852EA"/>
    <w:rsid w:val="2054496F"/>
    <w:rsid w:val="205A1CCE"/>
    <w:rsid w:val="206A6E50"/>
    <w:rsid w:val="207151C0"/>
    <w:rsid w:val="208618A6"/>
    <w:rsid w:val="2099615D"/>
    <w:rsid w:val="20B7393D"/>
    <w:rsid w:val="20B96BBD"/>
    <w:rsid w:val="20CD1CFF"/>
    <w:rsid w:val="210F6611"/>
    <w:rsid w:val="211550AD"/>
    <w:rsid w:val="211A033D"/>
    <w:rsid w:val="211C5BEF"/>
    <w:rsid w:val="212F1A01"/>
    <w:rsid w:val="21330A85"/>
    <w:rsid w:val="214D2E62"/>
    <w:rsid w:val="21516DFE"/>
    <w:rsid w:val="21586C67"/>
    <w:rsid w:val="215F2E6B"/>
    <w:rsid w:val="21680404"/>
    <w:rsid w:val="217A5DD1"/>
    <w:rsid w:val="218136A5"/>
    <w:rsid w:val="218A6F7B"/>
    <w:rsid w:val="219050AB"/>
    <w:rsid w:val="219363C3"/>
    <w:rsid w:val="219632F1"/>
    <w:rsid w:val="21AE4F56"/>
    <w:rsid w:val="21B824BA"/>
    <w:rsid w:val="21C47842"/>
    <w:rsid w:val="21D7650A"/>
    <w:rsid w:val="21DB0438"/>
    <w:rsid w:val="21EE0919"/>
    <w:rsid w:val="21F47AE4"/>
    <w:rsid w:val="21FD5212"/>
    <w:rsid w:val="2231221E"/>
    <w:rsid w:val="2243681F"/>
    <w:rsid w:val="22475582"/>
    <w:rsid w:val="22500A75"/>
    <w:rsid w:val="22584708"/>
    <w:rsid w:val="225A7C70"/>
    <w:rsid w:val="22653AAC"/>
    <w:rsid w:val="226E42A7"/>
    <w:rsid w:val="227C2991"/>
    <w:rsid w:val="228112CA"/>
    <w:rsid w:val="22813057"/>
    <w:rsid w:val="22862E16"/>
    <w:rsid w:val="2297568B"/>
    <w:rsid w:val="229B0FA2"/>
    <w:rsid w:val="22A158A8"/>
    <w:rsid w:val="22B7330C"/>
    <w:rsid w:val="22F74344"/>
    <w:rsid w:val="22F9522F"/>
    <w:rsid w:val="23391DB8"/>
    <w:rsid w:val="23395990"/>
    <w:rsid w:val="234F1772"/>
    <w:rsid w:val="234F1FDA"/>
    <w:rsid w:val="237D723A"/>
    <w:rsid w:val="239970B7"/>
    <w:rsid w:val="23AD285B"/>
    <w:rsid w:val="23D00D0A"/>
    <w:rsid w:val="23D206A3"/>
    <w:rsid w:val="23E40ADD"/>
    <w:rsid w:val="23E75737"/>
    <w:rsid w:val="23FB1887"/>
    <w:rsid w:val="23FF06EE"/>
    <w:rsid w:val="24045225"/>
    <w:rsid w:val="24101D13"/>
    <w:rsid w:val="24125C04"/>
    <w:rsid w:val="242B0763"/>
    <w:rsid w:val="24554D10"/>
    <w:rsid w:val="24570ADB"/>
    <w:rsid w:val="24632A90"/>
    <w:rsid w:val="24702856"/>
    <w:rsid w:val="247C6474"/>
    <w:rsid w:val="24957662"/>
    <w:rsid w:val="24971D77"/>
    <w:rsid w:val="24A52C36"/>
    <w:rsid w:val="24B36A5D"/>
    <w:rsid w:val="24DB1C9D"/>
    <w:rsid w:val="25023585"/>
    <w:rsid w:val="250D5B4F"/>
    <w:rsid w:val="250D769C"/>
    <w:rsid w:val="25243B51"/>
    <w:rsid w:val="253153C1"/>
    <w:rsid w:val="253E0E86"/>
    <w:rsid w:val="258F2D42"/>
    <w:rsid w:val="25A46F1D"/>
    <w:rsid w:val="25AD54C7"/>
    <w:rsid w:val="25C60F8E"/>
    <w:rsid w:val="25D14C6A"/>
    <w:rsid w:val="25DC2FDF"/>
    <w:rsid w:val="260C0AB9"/>
    <w:rsid w:val="261361A3"/>
    <w:rsid w:val="262131CB"/>
    <w:rsid w:val="26242B24"/>
    <w:rsid w:val="26633726"/>
    <w:rsid w:val="26864D68"/>
    <w:rsid w:val="268667B3"/>
    <w:rsid w:val="268C1E1D"/>
    <w:rsid w:val="26A03645"/>
    <w:rsid w:val="26B5638C"/>
    <w:rsid w:val="26B75EAC"/>
    <w:rsid w:val="26D41407"/>
    <w:rsid w:val="26D4492E"/>
    <w:rsid w:val="26D45246"/>
    <w:rsid w:val="26D63C12"/>
    <w:rsid w:val="26FB7A4A"/>
    <w:rsid w:val="26FD5084"/>
    <w:rsid w:val="27086399"/>
    <w:rsid w:val="27147853"/>
    <w:rsid w:val="271D70DA"/>
    <w:rsid w:val="274677C0"/>
    <w:rsid w:val="274A2C3F"/>
    <w:rsid w:val="275A6881"/>
    <w:rsid w:val="275C4E56"/>
    <w:rsid w:val="27AE5E26"/>
    <w:rsid w:val="27B17BB4"/>
    <w:rsid w:val="27B85569"/>
    <w:rsid w:val="27D8316E"/>
    <w:rsid w:val="280E4105"/>
    <w:rsid w:val="280E78B6"/>
    <w:rsid w:val="28121D2F"/>
    <w:rsid w:val="281F730D"/>
    <w:rsid w:val="284D48CB"/>
    <w:rsid w:val="286337EB"/>
    <w:rsid w:val="286A0055"/>
    <w:rsid w:val="288B0AD3"/>
    <w:rsid w:val="289A5E77"/>
    <w:rsid w:val="289C48B0"/>
    <w:rsid w:val="28AF506C"/>
    <w:rsid w:val="28CD3A9A"/>
    <w:rsid w:val="28D974AA"/>
    <w:rsid w:val="28E40964"/>
    <w:rsid w:val="28EF6BED"/>
    <w:rsid w:val="290328AE"/>
    <w:rsid w:val="291A0F9E"/>
    <w:rsid w:val="29323079"/>
    <w:rsid w:val="293E4FD5"/>
    <w:rsid w:val="29432476"/>
    <w:rsid w:val="29522A99"/>
    <w:rsid w:val="29574A05"/>
    <w:rsid w:val="299B5625"/>
    <w:rsid w:val="29A30649"/>
    <w:rsid w:val="29AA129A"/>
    <w:rsid w:val="29C139CE"/>
    <w:rsid w:val="29CE4F2D"/>
    <w:rsid w:val="29D64CE0"/>
    <w:rsid w:val="29E03A6D"/>
    <w:rsid w:val="29E76BC6"/>
    <w:rsid w:val="29FA2B17"/>
    <w:rsid w:val="2A0C3423"/>
    <w:rsid w:val="2A2512FA"/>
    <w:rsid w:val="2A3B0ABE"/>
    <w:rsid w:val="2A412D9C"/>
    <w:rsid w:val="2A4466CC"/>
    <w:rsid w:val="2A4E1A35"/>
    <w:rsid w:val="2A52680E"/>
    <w:rsid w:val="2A735575"/>
    <w:rsid w:val="2A866D93"/>
    <w:rsid w:val="2A8D6158"/>
    <w:rsid w:val="2AAF2A04"/>
    <w:rsid w:val="2AB926DC"/>
    <w:rsid w:val="2ACB7994"/>
    <w:rsid w:val="2ACF0D3F"/>
    <w:rsid w:val="2AEF05CD"/>
    <w:rsid w:val="2AFE28D1"/>
    <w:rsid w:val="2B057238"/>
    <w:rsid w:val="2B26354B"/>
    <w:rsid w:val="2B2E544C"/>
    <w:rsid w:val="2B311956"/>
    <w:rsid w:val="2B4820C3"/>
    <w:rsid w:val="2B54318F"/>
    <w:rsid w:val="2B5E5DBD"/>
    <w:rsid w:val="2B61442D"/>
    <w:rsid w:val="2B916C34"/>
    <w:rsid w:val="2B980975"/>
    <w:rsid w:val="2BB50C74"/>
    <w:rsid w:val="2BBA2014"/>
    <w:rsid w:val="2BBC0FEB"/>
    <w:rsid w:val="2BBD43D2"/>
    <w:rsid w:val="2BC11C26"/>
    <w:rsid w:val="2BCB0CDC"/>
    <w:rsid w:val="2BCD14CC"/>
    <w:rsid w:val="2BD17DDF"/>
    <w:rsid w:val="2BE646A6"/>
    <w:rsid w:val="2BF16CE8"/>
    <w:rsid w:val="2BF756A4"/>
    <w:rsid w:val="2BFA4049"/>
    <w:rsid w:val="2BFD60D7"/>
    <w:rsid w:val="2C0202B1"/>
    <w:rsid w:val="2C406454"/>
    <w:rsid w:val="2C5343E1"/>
    <w:rsid w:val="2C5C38E7"/>
    <w:rsid w:val="2C5D4B71"/>
    <w:rsid w:val="2C8A2F07"/>
    <w:rsid w:val="2CA12B9A"/>
    <w:rsid w:val="2CB5365B"/>
    <w:rsid w:val="2CBD6159"/>
    <w:rsid w:val="2CD374A3"/>
    <w:rsid w:val="2CFA0F34"/>
    <w:rsid w:val="2D2D338B"/>
    <w:rsid w:val="2D3703CA"/>
    <w:rsid w:val="2D396ED7"/>
    <w:rsid w:val="2D406ACD"/>
    <w:rsid w:val="2D5E1F95"/>
    <w:rsid w:val="2D616B8B"/>
    <w:rsid w:val="2D8D4C8D"/>
    <w:rsid w:val="2D9B4BCD"/>
    <w:rsid w:val="2DA2089A"/>
    <w:rsid w:val="2DAA465E"/>
    <w:rsid w:val="2DAC6C55"/>
    <w:rsid w:val="2DAD6FAB"/>
    <w:rsid w:val="2DBF6861"/>
    <w:rsid w:val="2DE65121"/>
    <w:rsid w:val="2DFC1668"/>
    <w:rsid w:val="2E1052CA"/>
    <w:rsid w:val="2E3F0D5A"/>
    <w:rsid w:val="2E400437"/>
    <w:rsid w:val="2E475AE6"/>
    <w:rsid w:val="2E595AC1"/>
    <w:rsid w:val="2E596B55"/>
    <w:rsid w:val="2E5D5BEF"/>
    <w:rsid w:val="2E7E217A"/>
    <w:rsid w:val="2E804182"/>
    <w:rsid w:val="2E870879"/>
    <w:rsid w:val="2E8D6223"/>
    <w:rsid w:val="2E93050B"/>
    <w:rsid w:val="2E9B0665"/>
    <w:rsid w:val="2EB9275D"/>
    <w:rsid w:val="2EC64B65"/>
    <w:rsid w:val="2ED207B9"/>
    <w:rsid w:val="2ED7154F"/>
    <w:rsid w:val="2EE33E9A"/>
    <w:rsid w:val="2EF6291B"/>
    <w:rsid w:val="2EF9297B"/>
    <w:rsid w:val="2F233AE0"/>
    <w:rsid w:val="2F425C49"/>
    <w:rsid w:val="2F4D27DF"/>
    <w:rsid w:val="2F4F6937"/>
    <w:rsid w:val="2F5C2BAB"/>
    <w:rsid w:val="2F6519C9"/>
    <w:rsid w:val="2F7C5232"/>
    <w:rsid w:val="2FA80406"/>
    <w:rsid w:val="2FB56DAE"/>
    <w:rsid w:val="2FDB3E92"/>
    <w:rsid w:val="2FF80450"/>
    <w:rsid w:val="30083A9E"/>
    <w:rsid w:val="30355C4B"/>
    <w:rsid w:val="3039154B"/>
    <w:rsid w:val="3046659A"/>
    <w:rsid w:val="3049478D"/>
    <w:rsid w:val="30662804"/>
    <w:rsid w:val="30663A3E"/>
    <w:rsid w:val="307355BD"/>
    <w:rsid w:val="307D3721"/>
    <w:rsid w:val="307F5D69"/>
    <w:rsid w:val="30886343"/>
    <w:rsid w:val="308A230C"/>
    <w:rsid w:val="30935FFF"/>
    <w:rsid w:val="30D82810"/>
    <w:rsid w:val="30E146B6"/>
    <w:rsid w:val="30F83408"/>
    <w:rsid w:val="30F87193"/>
    <w:rsid w:val="31137B76"/>
    <w:rsid w:val="312A6C42"/>
    <w:rsid w:val="313C743E"/>
    <w:rsid w:val="31682DDE"/>
    <w:rsid w:val="31AB0609"/>
    <w:rsid w:val="31B34155"/>
    <w:rsid w:val="31BA529E"/>
    <w:rsid w:val="31D12576"/>
    <w:rsid w:val="31E01A21"/>
    <w:rsid w:val="31F27B0B"/>
    <w:rsid w:val="31F8461D"/>
    <w:rsid w:val="322912AE"/>
    <w:rsid w:val="32513178"/>
    <w:rsid w:val="325D1B6D"/>
    <w:rsid w:val="32970A6B"/>
    <w:rsid w:val="32992134"/>
    <w:rsid w:val="329B5530"/>
    <w:rsid w:val="32C0462A"/>
    <w:rsid w:val="32D77990"/>
    <w:rsid w:val="32DE75A7"/>
    <w:rsid w:val="32E83A34"/>
    <w:rsid w:val="330B63ED"/>
    <w:rsid w:val="334B6A31"/>
    <w:rsid w:val="33585B04"/>
    <w:rsid w:val="338A1F14"/>
    <w:rsid w:val="33933A16"/>
    <w:rsid w:val="33CD1809"/>
    <w:rsid w:val="33DD4C90"/>
    <w:rsid w:val="33EA611F"/>
    <w:rsid w:val="33EC0EC8"/>
    <w:rsid w:val="33F64D5C"/>
    <w:rsid w:val="341855B5"/>
    <w:rsid w:val="342A6164"/>
    <w:rsid w:val="343F6228"/>
    <w:rsid w:val="34523A45"/>
    <w:rsid w:val="34584E37"/>
    <w:rsid w:val="345C205C"/>
    <w:rsid w:val="34612E93"/>
    <w:rsid w:val="3476312F"/>
    <w:rsid w:val="347B1F9D"/>
    <w:rsid w:val="3481037D"/>
    <w:rsid w:val="3494520C"/>
    <w:rsid w:val="34B23212"/>
    <w:rsid w:val="34CB0253"/>
    <w:rsid w:val="34EC2689"/>
    <w:rsid w:val="350F0631"/>
    <w:rsid w:val="351372BA"/>
    <w:rsid w:val="35195EBE"/>
    <w:rsid w:val="35213A9F"/>
    <w:rsid w:val="35385228"/>
    <w:rsid w:val="353F4B06"/>
    <w:rsid w:val="35436C76"/>
    <w:rsid w:val="35465304"/>
    <w:rsid w:val="355D7B7C"/>
    <w:rsid w:val="356317F9"/>
    <w:rsid w:val="3569500B"/>
    <w:rsid w:val="356B7780"/>
    <w:rsid w:val="3591095E"/>
    <w:rsid w:val="359608D2"/>
    <w:rsid w:val="359914D7"/>
    <w:rsid w:val="35BF7DC5"/>
    <w:rsid w:val="35C4404D"/>
    <w:rsid w:val="35C6532C"/>
    <w:rsid w:val="35D77673"/>
    <w:rsid w:val="35DF3B12"/>
    <w:rsid w:val="35FE34F3"/>
    <w:rsid w:val="36277E4B"/>
    <w:rsid w:val="362D6223"/>
    <w:rsid w:val="3644357D"/>
    <w:rsid w:val="36512D49"/>
    <w:rsid w:val="365A34BC"/>
    <w:rsid w:val="365E2195"/>
    <w:rsid w:val="36637C2C"/>
    <w:rsid w:val="36663FB2"/>
    <w:rsid w:val="3673753E"/>
    <w:rsid w:val="368608FD"/>
    <w:rsid w:val="36871656"/>
    <w:rsid w:val="36AA43C7"/>
    <w:rsid w:val="36D651F2"/>
    <w:rsid w:val="36E0540F"/>
    <w:rsid w:val="36EA3A2D"/>
    <w:rsid w:val="36FD1EAE"/>
    <w:rsid w:val="36FE14F9"/>
    <w:rsid w:val="373A2498"/>
    <w:rsid w:val="376C6255"/>
    <w:rsid w:val="37795515"/>
    <w:rsid w:val="3790422C"/>
    <w:rsid w:val="3796028C"/>
    <w:rsid w:val="37A56762"/>
    <w:rsid w:val="37BE2882"/>
    <w:rsid w:val="37DB345B"/>
    <w:rsid w:val="37DB7B44"/>
    <w:rsid w:val="37E101A6"/>
    <w:rsid w:val="37E301BC"/>
    <w:rsid w:val="37E60BC4"/>
    <w:rsid w:val="37FD4C3C"/>
    <w:rsid w:val="38031D54"/>
    <w:rsid w:val="381B57EA"/>
    <w:rsid w:val="381B7316"/>
    <w:rsid w:val="38541E5B"/>
    <w:rsid w:val="38561263"/>
    <w:rsid w:val="385B49FE"/>
    <w:rsid w:val="38721C3A"/>
    <w:rsid w:val="3881211D"/>
    <w:rsid w:val="3882590F"/>
    <w:rsid w:val="38995F6A"/>
    <w:rsid w:val="389A0AE7"/>
    <w:rsid w:val="38AA16D2"/>
    <w:rsid w:val="38C05556"/>
    <w:rsid w:val="38E24F69"/>
    <w:rsid w:val="38F47AC5"/>
    <w:rsid w:val="38F63D6D"/>
    <w:rsid w:val="390A0694"/>
    <w:rsid w:val="390E6DCB"/>
    <w:rsid w:val="3916344C"/>
    <w:rsid w:val="39185AEC"/>
    <w:rsid w:val="393E5613"/>
    <w:rsid w:val="395B2063"/>
    <w:rsid w:val="398609B6"/>
    <w:rsid w:val="39967EDC"/>
    <w:rsid w:val="39D47A95"/>
    <w:rsid w:val="39E46C5F"/>
    <w:rsid w:val="39F769A8"/>
    <w:rsid w:val="39FB7482"/>
    <w:rsid w:val="3A0C5390"/>
    <w:rsid w:val="3A4533FD"/>
    <w:rsid w:val="3A5D2085"/>
    <w:rsid w:val="3A630A3E"/>
    <w:rsid w:val="3A6B4B0E"/>
    <w:rsid w:val="3A771C78"/>
    <w:rsid w:val="3A80278B"/>
    <w:rsid w:val="3AA3240D"/>
    <w:rsid w:val="3AAD1AA6"/>
    <w:rsid w:val="3AB10CB2"/>
    <w:rsid w:val="3AB151EC"/>
    <w:rsid w:val="3AB964E0"/>
    <w:rsid w:val="3ACB6B3B"/>
    <w:rsid w:val="3ADD4E9F"/>
    <w:rsid w:val="3AE319EB"/>
    <w:rsid w:val="3AEC3B77"/>
    <w:rsid w:val="3AF022A8"/>
    <w:rsid w:val="3AF95E8F"/>
    <w:rsid w:val="3B02239A"/>
    <w:rsid w:val="3B0562E5"/>
    <w:rsid w:val="3B087702"/>
    <w:rsid w:val="3B095D6C"/>
    <w:rsid w:val="3B465A1B"/>
    <w:rsid w:val="3B465E48"/>
    <w:rsid w:val="3B55449B"/>
    <w:rsid w:val="3B6710B7"/>
    <w:rsid w:val="3B6B3642"/>
    <w:rsid w:val="3B700AF7"/>
    <w:rsid w:val="3B720772"/>
    <w:rsid w:val="3B7D2B27"/>
    <w:rsid w:val="3B830695"/>
    <w:rsid w:val="3B9C67FA"/>
    <w:rsid w:val="3BB34E31"/>
    <w:rsid w:val="3BC503A2"/>
    <w:rsid w:val="3BCF2C11"/>
    <w:rsid w:val="3BDC413C"/>
    <w:rsid w:val="3BF664DF"/>
    <w:rsid w:val="3BF74BC2"/>
    <w:rsid w:val="3BFA134A"/>
    <w:rsid w:val="3C0268F1"/>
    <w:rsid w:val="3C0E306F"/>
    <w:rsid w:val="3C2C7F42"/>
    <w:rsid w:val="3C3732EF"/>
    <w:rsid w:val="3C3F65EF"/>
    <w:rsid w:val="3C475401"/>
    <w:rsid w:val="3C4930F4"/>
    <w:rsid w:val="3C5E14E0"/>
    <w:rsid w:val="3C7D7E7A"/>
    <w:rsid w:val="3C906F49"/>
    <w:rsid w:val="3C9139F8"/>
    <w:rsid w:val="3CA87F65"/>
    <w:rsid w:val="3CBD1114"/>
    <w:rsid w:val="3CCB0773"/>
    <w:rsid w:val="3CCE1C12"/>
    <w:rsid w:val="3CE20615"/>
    <w:rsid w:val="3D0569A1"/>
    <w:rsid w:val="3D172EAB"/>
    <w:rsid w:val="3D2D38F4"/>
    <w:rsid w:val="3D346D52"/>
    <w:rsid w:val="3D391D01"/>
    <w:rsid w:val="3D4A58E7"/>
    <w:rsid w:val="3D5F1617"/>
    <w:rsid w:val="3D803470"/>
    <w:rsid w:val="3D90331A"/>
    <w:rsid w:val="3D910591"/>
    <w:rsid w:val="3D9224AC"/>
    <w:rsid w:val="3D9B49ED"/>
    <w:rsid w:val="3D9E1B59"/>
    <w:rsid w:val="3D9F4F87"/>
    <w:rsid w:val="3DA62B4F"/>
    <w:rsid w:val="3DE02ACD"/>
    <w:rsid w:val="3DEF4DB8"/>
    <w:rsid w:val="3DF12C1A"/>
    <w:rsid w:val="3DF608A3"/>
    <w:rsid w:val="3E0B442C"/>
    <w:rsid w:val="3E0C3990"/>
    <w:rsid w:val="3E1167AA"/>
    <w:rsid w:val="3E2D2B95"/>
    <w:rsid w:val="3E3A6E87"/>
    <w:rsid w:val="3E3F3414"/>
    <w:rsid w:val="3E3F4FFD"/>
    <w:rsid w:val="3E500864"/>
    <w:rsid w:val="3E621DB3"/>
    <w:rsid w:val="3E783DE8"/>
    <w:rsid w:val="3EA50683"/>
    <w:rsid w:val="3EB73345"/>
    <w:rsid w:val="3EB96ED2"/>
    <w:rsid w:val="3EC83590"/>
    <w:rsid w:val="3EEA13B8"/>
    <w:rsid w:val="3EF248FF"/>
    <w:rsid w:val="3EF937B3"/>
    <w:rsid w:val="3F080308"/>
    <w:rsid w:val="3F2450C4"/>
    <w:rsid w:val="3F4F7B9A"/>
    <w:rsid w:val="3F770124"/>
    <w:rsid w:val="3FA042C7"/>
    <w:rsid w:val="3FA24575"/>
    <w:rsid w:val="3FB37991"/>
    <w:rsid w:val="3FC51191"/>
    <w:rsid w:val="3FC78962"/>
    <w:rsid w:val="3FCD4012"/>
    <w:rsid w:val="3FD1185D"/>
    <w:rsid w:val="3FD825B2"/>
    <w:rsid w:val="3FE90911"/>
    <w:rsid w:val="3FE92EFA"/>
    <w:rsid w:val="3FEA5BC4"/>
    <w:rsid w:val="3FF15EAB"/>
    <w:rsid w:val="40072532"/>
    <w:rsid w:val="400F7E7B"/>
    <w:rsid w:val="401B4A20"/>
    <w:rsid w:val="40202C7E"/>
    <w:rsid w:val="404C75E2"/>
    <w:rsid w:val="406A0CA9"/>
    <w:rsid w:val="40792BF1"/>
    <w:rsid w:val="40923D5F"/>
    <w:rsid w:val="40B12428"/>
    <w:rsid w:val="40BA1A38"/>
    <w:rsid w:val="40BC4DED"/>
    <w:rsid w:val="40C91486"/>
    <w:rsid w:val="40E372DD"/>
    <w:rsid w:val="40EC5C8B"/>
    <w:rsid w:val="40F3290C"/>
    <w:rsid w:val="41065BC3"/>
    <w:rsid w:val="41113842"/>
    <w:rsid w:val="41307547"/>
    <w:rsid w:val="41571CA4"/>
    <w:rsid w:val="418A423A"/>
    <w:rsid w:val="418D26F6"/>
    <w:rsid w:val="418E3F29"/>
    <w:rsid w:val="418F1C33"/>
    <w:rsid w:val="41A61B80"/>
    <w:rsid w:val="41C27B61"/>
    <w:rsid w:val="41D13AB5"/>
    <w:rsid w:val="41DB08B9"/>
    <w:rsid w:val="41F41168"/>
    <w:rsid w:val="42024B05"/>
    <w:rsid w:val="4258787F"/>
    <w:rsid w:val="426E434F"/>
    <w:rsid w:val="426F6004"/>
    <w:rsid w:val="428F3EDA"/>
    <w:rsid w:val="42A663EA"/>
    <w:rsid w:val="42A85190"/>
    <w:rsid w:val="43154F07"/>
    <w:rsid w:val="435A5455"/>
    <w:rsid w:val="43642F6D"/>
    <w:rsid w:val="436F0020"/>
    <w:rsid w:val="43A85DA0"/>
    <w:rsid w:val="43AF7F93"/>
    <w:rsid w:val="43C85D98"/>
    <w:rsid w:val="43D81A24"/>
    <w:rsid w:val="43DA61CB"/>
    <w:rsid w:val="44112EE8"/>
    <w:rsid w:val="442F522A"/>
    <w:rsid w:val="445053DF"/>
    <w:rsid w:val="448125B3"/>
    <w:rsid w:val="44872802"/>
    <w:rsid w:val="449B6B1A"/>
    <w:rsid w:val="44DD0910"/>
    <w:rsid w:val="44E073EB"/>
    <w:rsid w:val="44E1517F"/>
    <w:rsid w:val="44FC3800"/>
    <w:rsid w:val="45266584"/>
    <w:rsid w:val="4531111F"/>
    <w:rsid w:val="45436F46"/>
    <w:rsid w:val="45531782"/>
    <w:rsid w:val="458F27B3"/>
    <w:rsid w:val="45926D5B"/>
    <w:rsid w:val="45D00FB5"/>
    <w:rsid w:val="45DA188A"/>
    <w:rsid w:val="45E05D80"/>
    <w:rsid w:val="45E10C3B"/>
    <w:rsid w:val="46185C13"/>
    <w:rsid w:val="462B7086"/>
    <w:rsid w:val="462C215C"/>
    <w:rsid w:val="46446650"/>
    <w:rsid w:val="46547170"/>
    <w:rsid w:val="465949D7"/>
    <w:rsid w:val="46686203"/>
    <w:rsid w:val="467341C4"/>
    <w:rsid w:val="467D7EC1"/>
    <w:rsid w:val="46855231"/>
    <w:rsid w:val="4686341A"/>
    <w:rsid w:val="46941344"/>
    <w:rsid w:val="46B061EA"/>
    <w:rsid w:val="46CE7385"/>
    <w:rsid w:val="46DF4075"/>
    <w:rsid w:val="46E706C6"/>
    <w:rsid w:val="46F852AB"/>
    <w:rsid w:val="470751B1"/>
    <w:rsid w:val="47372D5A"/>
    <w:rsid w:val="47447390"/>
    <w:rsid w:val="476750EF"/>
    <w:rsid w:val="47687087"/>
    <w:rsid w:val="476E5B6B"/>
    <w:rsid w:val="476E7C83"/>
    <w:rsid w:val="47917B1E"/>
    <w:rsid w:val="47951627"/>
    <w:rsid w:val="47A67142"/>
    <w:rsid w:val="47B126F5"/>
    <w:rsid w:val="47BD7FAC"/>
    <w:rsid w:val="47D46C3E"/>
    <w:rsid w:val="47DD6123"/>
    <w:rsid w:val="47E23DE8"/>
    <w:rsid w:val="47F06532"/>
    <w:rsid w:val="48482CD6"/>
    <w:rsid w:val="485430FE"/>
    <w:rsid w:val="488822CF"/>
    <w:rsid w:val="48892891"/>
    <w:rsid w:val="48926797"/>
    <w:rsid w:val="48A00008"/>
    <w:rsid w:val="48A9662A"/>
    <w:rsid w:val="48AC0B43"/>
    <w:rsid w:val="48CD6E8B"/>
    <w:rsid w:val="48D70408"/>
    <w:rsid w:val="48FD774D"/>
    <w:rsid w:val="49033D09"/>
    <w:rsid w:val="49150829"/>
    <w:rsid w:val="49205202"/>
    <w:rsid w:val="49236002"/>
    <w:rsid w:val="49242810"/>
    <w:rsid w:val="492C7356"/>
    <w:rsid w:val="493D49F2"/>
    <w:rsid w:val="49412293"/>
    <w:rsid w:val="49476BBC"/>
    <w:rsid w:val="49643F90"/>
    <w:rsid w:val="496853D3"/>
    <w:rsid w:val="497B51F4"/>
    <w:rsid w:val="49820690"/>
    <w:rsid w:val="49851E89"/>
    <w:rsid w:val="498B7D4A"/>
    <w:rsid w:val="49A02D1A"/>
    <w:rsid w:val="49E74694"/>
    <w:rsid w:val="49F43B25"/>
    <w:rsid w:val="4A360239"/>
    <w:rsid w:val="4A3C3F47"/>
    <w:rsid w:val="4A410FA0"/>
    <w:rsid w:val="4A4B284A"/>
    <w:rsid w:val="4A4C2D58"/>
    <w:rsid w:val="4A522668"/>
    <w:rsid w:val="4A5A2393"/>
    <w:rsid w:val="4A7624D5"/>
    <w:rsid w:val="4AA97E9D"/>
    <w:rsid w:val="4AAB7B7C"/>
    <w:rsid w:val="4ABD111A"/>
    <w:rsid w:val="4ADA3EDD"/>
    <w:rsid w:val="4ADB52F4"/>
    <w:rsid w:val="4AE110A8"/>
    <w:rsid w:val="4AE12E4B"/>
    <w:rsid w:val="4B0213AE"/>
    <w:rsid w:val="4B100607"/>
    <w:rsid w:val="4B1367B9"/>
    <w:rsid w:val="4B18131A"/>
    <w:rsid w:val="4B22332E"/>
    <w:rsid w:val="4B2F2017"/>
    <w:rsid w:val="4B2F2E38"/>
    <w:rsid w:val="4B3A127D"/>
    <w:rsid w:val="4B3D1C65"/>
    <w:rsid w:val="4B530871"/>
    <w:rsid w:val="4B676629"/>
    <w:rsid w:val="4B9948D5"/>
    <w:rsid w:val="4B9D07C5"/>
    <w:rsid w:val="4BA0254D"/>
    <w:rsid w:val="4BAE079D"/>
    <w:rsid w:val="4BB51442"/>
    <w:rsid w:val="4BB94D15"/>
    <w:rsid w:val="4BC47EAA"/>
    <w:rsid w:val="4BD0153E"/>
    <w:rsid w:val="4BD82CB5"/>
    <w:rsid w:val="4BDC6EA2"/>
    <w:rsid w:val="4BE53844"/>
    <w:rsid w:val="4BED060C"/>
    <w:rsid w:val="4BF052E6"/>
    <w:rsid w:val="4C0642B5"/>
    <w:rsid w:val="4C100824"/>
    <w:rsid w:val="4C1B3FA3"/>
    <w:rsid w:val="4C4606F0"/>
    <w:rsid w:val="4C4E3693"/>
    <w:rsid w:val="4C5013A4"/>
    <w:rsid w:val="4C5221C7"/>
    <w:rsid w:val="4C567BB7"/>
    <w:rsid w:val="4C6B006F"/>
    <w:rsid w:val="4C892165"/>
    <w:rsid w:val="4C9C001C"/>
    <w:rsid w:val="4C9F3CB4"/>
    <w:rsid w:val="4CA228B3"/>
    <w:rsid w:val="4CA6430E"/>
    <w:rsid w:val="4CB513E3"/>
    <w:rsid w:val="4CC40C50"/>
    <w:rsid w:val="4CD21ECE"/>
    <w:rsid w:val="4CD8697F"/>
    <w:rsid w:val="4CD93DDA"/>
    <w:rsid w:val="4CDD4E36"/>
    <w:rsid w:val="4CE018CA"/>
    <w:rsid w:val="4CED1341"/>
    <w:rsid w:val="4CEE40DC"/>
    <w:rsid w:val="4CF5270B"/>
    <w:rsid w:val="4CFA08C6"/>
    <w:rsid w:val="4D006F52"/>
    <w:rsid w:val="4D0560BA"/>
    <w:rsid w:val="4D077EEE"/>
    <w:rsid w:val="4D16194B"/>
    <w:rsid w:val="4D2D3A8E"/>
    <w:rsid w:val="4D4960B4"/>
    <w:rsid w:val="4D527C00"/>
    <w:rsid w:val="4D62238B"/>
    <w:rsid w:val="4D6C67CA"/>
    <w:rsid w:val="4D8C1D24"/>
    <w:rsid w:val="4D935CAB"/>
    <w:rsid w:val="4DA9611B"/>
    <w:rsid w:val="4DAE26B7"/>
    <w:rsid w:val="4DAF2C66"/>
    <w:rsid w:val="4DD3633D"/>
    <w:rsid w:val="4DEA5DE8"/>
    <w:rsid w:val="4DED7908"/>
    <w:rsid w:val="4E010799"/>
    <w:rsid w:val="4E2A0D48"/>
    <w:rsid w:val="4E3122DC"/>
    <w:rsid w:val="4E3551EC"/>
    <w:rsid w:val="4E376E11"/>
    <w:rsid w:val="4E5453B6"/>
    <w:rsid w:val="4E66362C"/>
    <w:rsid w:val="4E6D5500"/>
    <w:rsid w:val="4E7A1BCB"/>
    <w:rsid w:val="4E843AE4"/>
    <w:rsid w:val="4E847799"/>
    <w:rsid w:val="4E915D64"/>
    <w:rsid w:val="4E9A420C"/>
    <w:rsid w:val="4EB44455"/>
    <w:rsid w:val="4ED672A9"/>
    <w:rsid w:val="4EFA3556"/>
    <w:rsid w:val="4EFA7A91"/>
    <w:rsid w:val="4F02593B"/>
    <w:rsid w:val="4F1D1E8D"/>
    <w:rsid w:val="4F200137"/>
    <w:rsid w:val="4F2007EB"/>
    <w:rsid w:val="4F353E03"/>
    <w:rsid w:val="4F4641B9"/>
    <w:rsid w:val="4F5B34D8"/>
    <w:rsid w:val="4F5F7404"/>
    <w:rsid w:val="4F7023EF"/>
    <w:rsid w:val="4F731838"/>
    <w:rsid w:val="4F7C3647"/>
    <w:rsid w:val="4F883637"/>
    <w:rsid w:val="4FA640D0"/>
    <w:rsid w:val="4FBA3488"/>
    <w:rsid w:val="4FBAF14C"/>
    <w:rsid w:val="4FE13732"/>
    <w:rsid w:val="4FE90DD8"/>
    <w:rsid w:val="500733A6"/>
    <w:rsid w:val="503A26D5"/>
    <w:rsid w:val="505524BA"/>
    <w:rsid w:val="506B5424"/>
    <w:rsid w:val="50761526"/>
    <w:rsid w:val="507874FD"/>
    <w:rsid w:val="507F331E"/>
    <w:rsid w:val="50901993"/>
    <w:rsid w:val="50906BF4"/>
    <w:rsid w:val="509513C3"/>
    <w:rsid w:val="509A32DA"/>
    <w:rsid w:val="509F5B81"/>
    <w:rsid w:val="50A03D62"/>
    <w:rsid w:val="50AA4B1E"/>
    <w:rsid w:val="50B90C9F"/>
    <w:rsid w:val="50C64527"/>
    <w:rsid w:val="50DA1E28"/>
    <w:rsid w:val="50F804BC"/>
    <w:rsid w:val="510E2481"/>
    <w:rsid w:val="511E3952"/>
    <w:rsid w:val="514567A3"/>
    <w:rsid w:val="515250C4"/>
    <w:rsid w:val="51663632"/>
    <w:rsid w:val="516C62E7"/>
    <w:rsid w:val="51761B19"/>
    <w:rsid w:val="518A2221"/>
    <w:rsid w:val="518B7B71"/>
    <w:rsid w:val="51A00E01"/>
    <w:rsid w:val="51AB3F8B"/>
    <w:rsid w:val="51B60927"/>
    <w:rsid w:val="51CE7169"/>
    <w:rsid w:val="51D4764F"/>
    <w:rsid w:val="51DA600B"/>
    <w:rsid w:val="51DB0673"/>
    <w:rsid w:val="51EF54FA"/>
    <w:rsid w:val="51F27A0F"/>
    <w:rsid w:val="52015DBC"/>
    <w:rsid w:val="520E5305"/>
    <w:rsid w:val="52211DCE"/>
    <w:rsid w:val="52351D97"/>
    <w:rsid w:val="52464DFE"/>
    <w:rsid w:val="5254124D"/>
    <w:rsid w:val="52653371"/>
    <w:rsid w:val="526B105B"/>
    <w:rsid w:val="5271198B"/>
    <w:rsid w:val="52B56290"/>
    <w:rsid w:val="52B95C52"/>
    <w:rsid w:val="52C96388"/>
    <w:rsid w:val="52CF00DC"/>
    <w:rsid w:val="52E77118"/>
    <w:rsid w:val="52F628E6"/>
    <w:rsid w:val="52FA40FB"/>
    <w:rsid w:val="530A3C30"/>
    <w:rsid w:val="53191747"/>
    <w:rsid w:val="532451AE"/>
    <w:rsid w:val="533F10AA"/>
    <w:rsid w:val="535863A3"/>
    <w:rsid w:val="537053BE"/>
    <w:rsid w:val="537A38A1"/>
    <w:rsid w:val="53A46AC8"/>
    <w:rsid w:val="53BC6124"/>
    <w:rsid w:val="53BE34F2"/>
    <w:rsid w:val="53C6132F"/>
    <w:rsid w:val="53CA21E0"/>
    <w:rsid w:val="53DA327B"/>
    <w:rsid w:val="53E246FA"/>
    <w:rsid w:val="540B1D9A"/>
    <w:rsid w:val="54251F34"/>
    <w:rsid w:val="54290385"/>
    <w:rsid w:val="542B222F"/>
    <w:rsid w:val="54404CC8"/>
    <w:rsid w:val="545C3D5C"/>
    <w:rsid w:val="54652B19"/>
    <w:rsid w:val="54A73D41"/>
    <w:rsid w:val="54B47744"/>
    <w:rsid w:val="54BA5C89"/>
    <w:rsid w:val="54C7579D"/>
    <w:rsid w:val="54D427E0"/>
    <w:rsid w:val="54F75648"/>
    <w:rsid w:val="54FB0173"/>
    <w:rsid w:val="55000F24"/>
    <w:rsid w:val="551170B5"/>
    <w:rsid w:val="552E5AE4"/>
    <w:rsid w:val="553275A2"/>
    <w:rsid w:val="553752B4"/>
    <w:rsid w:val="5547764B"/>
    <w:rsid w:val="555C3880"/>
    <w:rsid w:val="556F6D04"/>
    <w:rsid w:val="55772E79"/>
    <w:rsid w:val="559B117B"/>
    <w:rsid w:val="55AA7B0D"/>
    <w:rsid w:val="55C506BA"/>
    <w:rsid w:val="55DA7B44"/>
    <w:rsid w:val="55DE548F"/>
    <w:rsid w:val="55EA2181"/>
    <w:rsid w:val="561D301E"/>
    <w:rsid w:val="56232824"/>
    <w:rsid w:val="56260D65"/>
    <w:rsid w:val="56340E2C"/>
    <w:rsid w:val="563546BB"/>
    <w:rsid w:val="564116B7"/>
    <w:rsid w:val="567B2D17"/>
    <w:rsid w:val="567C1A39"/>
    <w:rsid w:val="567D2ED3"/>
    <w:rsid w:val="5694578F"/>
    <w:rsid w:val="569C21AD"/>
    <w:rsid w:val="56A375D2"/>
    <w:rsid w:val="56A76DD8"/>
    <w:rsid w:val="56AC12AA"/>
    <w:rsid w:val="56BF5419"/>
    <w:rsid w:val="56C17D6A"/>
    <w:rsid w:val="56D26EDC"/>
    <w:rsid w:val="56D60109"/>
    <w:rsid w:val="56FC0101"/>
    <w:rsid w:val="57037D35"/>
    <w:rsid w:val="571D0C58"/>
    <w:rsid w:val="5720362C"/>
    <w:rsid w:val="57216E3E"/>
    <w:rsid w:val="572D34B4"/>
    <w:rsid w:val="57304931"/>
    <w:rsid w:val="574B48B1"/>
    <w:rsid w:val="57800D9A"/>
    <w:rsid w:val="57850A10"/>
    <w:rsid w:val="578A3BA3"/>
    <w:rsid w:val="578C1FD0"/>
    <w:rsid w:val="579831FD"/>
    <w:rsid w:val="57B40EE6"/>
    <w:rsid w:val="57C55108"/>
    <w:rsid w:val="57ED1668"/>
    <w:rsid w:val="57F0498D"/>
    <w:rsid w:val="57F756AD"/>
    <w:rsid w:val="57FA7A3D"/>
    <w:rsid w:val="58212373"/>
    <w:rsid w:val="58291F81"/>
    <w:rsid w:val="582E6650"/>
    <w:rsid w:val="583E4053"/>
    <w:rsid w:val="587C69B3"/>
    <w:rsid w:val="589C442D"/>
    <w:rsid w:val="58A33A10"/>
    <w:rsid w:val="58BA6DA0"/>
    <w:rsid w:val="58BD71F9"/>
    <w:rsid w:val="58D02D3D"/>
    <w:rsid w:val="58F11048"/>
    <w:rsid w:val="58F40CC6"/>
    <w:rsid w:val="58F54B73"/>
    <w:rsid w:val="59006FEA"/>
    <w:rsid w:val="59256B2F"/>
    <w:rsid w:val="596B34E3"/>
    <w:rsid w:val="596D7759"/>
    <w:rsid w:val="597A4314"/>
    <w:rsid w:val="598C6D62"/>
    <w:rsid w:val="59A00EFA"/>
    <w:rsid w:val="59B47B1B"/>
    <w:rsid w:val="59B7395F"/>
    <w:rsid w:val="59D14ABD"/>
    <w:rsid w:val="59DF3E59"/>
    <w:rsid w:val="5A0C1D56"/>
    <w:rsid w:val="5A0F1D37"/>
    <w:rsid w:val="5A1145A7"/>
    <w:rsid w:val="5A1603BC"/>
    <w:rsid w:val="5A2210C8"/>
    <w:rsid w:val="5A272E64"/>
    <w:rsid w:val="5A3871DB"/>
    <w:rsid w:val="5A3E64BC"/>
    <w:rsid w:val="5A743954"/>
    <w:rsid w:val="5A746229"/>
    <w:rsid w:val="5A77304D"/>
    <w:rsid w:val="5A79572E"/>
    <w:rsid w:val="5A7C4A3F"/>
    <w:rsid w:val="5A94155F"/>
    <w:rsid w:val="5A9F01A6"/>
    <w:rsid w:val="5AA4075E"/>
    <w:rsid w:val="5ABA36CE"/>
    <w:rsid w:val="5ACD38F0"/>
    <w:rsid w:val="5ADE6587"/>
    <w:rsid w:val="5B2670D7"/>
    <w:rsid w:val="5B3BF926"/>
    <w:rsid w:val="5B756AA5"/>
    <w:rsid w:val="5B8310ED"/>
    <w:rsid w:val="5B904863"/>
    <w:rsid w:val="5BA93AF3"/>
    <w:rsid w:val="5BBA5559"/>
    <w:rsid w:val="5BBC231F"/>
    <w:rsid w:val="5BC84B7F"/>
    <w:rsid w:val="5BD34B6C"/>
    <w:rsid w:val="5BE344A2"/>
    <w:rsid w:val="5BEE6158"/>
    <w:rsid w:val="5C1019D4"/>
    <w:rsid w:val="5C3632D5"/>
    <w:rsid w:val="5C5348E5"/>
    <w:rsid w:val="5C5A651A"/>
    <w:rsid w:val="5C6B6FF0"/>
    <w:rsid w:val="5C782508"/>
    <w:rsid w:val="5CB033E1"/>
    <w:rsid w:val="5CB71F1D"/>
    <w:rsid w:val="5D25239B"/>
    <w:rsid w:val="5D3A711C"/>
    <w:rsid w:val="5DAA2422"/>
    <w:rsid w:val="5DC809C8"/>
    <w:rsid w:val="5DDA4E5E"/>
    <w:rsid w:val="5DDE2351"/>
    <w:rsid w:val="5E075CF1"/>
    <w:rsid w:val="5E212BAC"/>
    <w:rsid w:val="5E4210DE"/>
    <w:rsid w:val="5E4B5F57"/>
    <w:rsid w:val="5E4C19C5"/>
    <w:rsid w:val="5E573B57"/>
    <w:rsid w:val="5EB7615A"/>
    <w:rsid w:val="5EB94577"/>
    <w:rsid w:val="5EC405D8"/>
    <w:rsid w:val="5EE12F24"/>
    <w:rsid w:val="5EE878F6"/>
    <w:rsid w:val="5EFD59B8"/>
    <w:rsid w:val="5F11740F"/>
    <w:rsid w:val="5F17263D"/>
    <w:rsid w:val="5F1D1971"/>
    <w:rsid w:val="5F5632C5"/>
    <w:rsid w:val="5F607E92"/>
    <w:rsid w:val="5F6E2DA1"/>
    <w:rsid w:val="5F933EDA"/>
    <w:rsid w:val="5F98426A"/>
    <w:rsid w:val="5F9A4C53"/>
    <w:rsid w:val="5F9B3F66"/>
    <w:rsid w:val="5F9E6BE8"/>
    <w:rsid w:val="5FBD1343"/>
    <w:rsid w:val="5FD17673"/>
    <w:rsid w:val="5FE06302"/>
    <w:rsid w:val="60020763"/>
    <w:rsid w:val="6025396C"/>
    <w:rsid w:val="602D40D8"/>
    <w:rsid w:val="60443F67"/>
    <w:rsid w:val="60637B95"/>
    <w:rsid w:val="606F0155"/>
    <w:rsid w:val="608D038F"/>
    <w:rsid w:val="60A75108"/>
    <w:rsid w:val="60AC727B"/>
    <w:rsid w:val="60D53D19"/>
    <w:rsid w:val="60EB5CB6"/>
    <w:rsid w:val="60F961EB"/>
    <w:rsid w:val="60FB233F"/>
    <w:rsid w:val="610E18A2"/>
    <w:rsid w:val="61236FC9"/>
    <w:rsid w:val="612E6D89"/>
    <w:rsid w:val="61381004"/>
    <w:rsid w:val="6157432C"/>
    <w:rsid w:val="616263C6"/>
    <w:rsid w:val="616906AA"/>
    <w:rsid w:val="61742D72"/>
    <w:rsid w:val="61761E8E"/>
    <w:rsid w:val="61775BD1"/>
    <w:rsid w:val="618F629E"/>
    <w:rsid w:val="61946E1B"/>
    <w:rsid w:val="61B628DB"/>
    <w:rsid w:val="61DE3868"/>
    <w:rsid w:val="61DF24C3"/>
    <w:rsid w:val="61EC2BB2"/>
    <w:rsid w:val="61F502E8"/>
    <w:rsid w:val="62073C81"/>
    <w:rsid w:val="62136A78"/>
    <w:rsid w:val="621F5EE0"/>
    <w:rsid w:val="62427742"/>
    <w:rsid w:val="62456CC6"/>
    <w:rsid w:val="6250070F"/>
    <w:rsid w:val="625B71F0"/>
    <w:rsid w:val="6274191F"/>
    <w:rsid w:val="62B00AA2"/>
    <w:rsid w:val="62B27EAC"/>
    <w:rsid w:val="62E83A3A"/>
    <w:rsid w:val="62E862BD"/>
    <w:rsid w:val="62ED4179"/>
    <w:rsid w:val="62FF6979"/>
    <w:rsid w:val="630006EA"/>
    <w:rsid w:val="63045A59"/>
    <w:rsid w:val="63127731"/>
    <w:rsid w:val="633745A7"/>
    <w:rsid w:val="634853B4"/>
    <w:rsid w:val="63754E3A"/>
    <w:rsid w:val="637E124B"/>
    <w:rsid w:val="63987541"/>
    <w:rsid w:val="63A768F7"/>
    <w:rsid w:val="63D03DE1"/>
    <w:rsid w:val="63D05696"/>
    <w:rsid w:val="63D24910"/>
    <w:rsid w:val="63E25289"/>
    <w:rsid w:val="64010D27"/>
    <w:rsid w:val="640A375B"/>
    <w:rsid w:val="641E0926"/>
    <w:rsid w:val="64523F7E"/>
    <w:rsid w:val="64905B38"/>
    <w:rsid w:val="64996695"/>
    <w:rsid w:val="649D1D43"/>
    <w:rsid w:val="64AE4A1B"/>
    <w:rsid w:val="64B1480B"/>
    <w:rsid w:val="64B86067"/>
    <w:rsid w:val="64B96FBB"/>
    <w:rsid w:val="64BD6AA2"/>
    <w:rsid w:val="64C116CF"/>
    <w:rsid w:val="64C82D25"/>
    <w:rsid w:val="64CA30F1"/>
    <w:rsid w:val="64D057A4"/>
    <w:rsid w:val="64D84C25"/>
    <w:rsid w:val="64E43860"/>
    <w:rsid w:val="650D3A2E"/>
    <w:rsid w:val="6521002B"/>
    <w:rsid w:val="654D12B9"/>
    <w:rsid w:val="65544F2F"/>
    <w:rsid w:val="656F3CBC"/>
    <w:rsid w:val="657D1C37"/>
    <w:rsid w:val="657D390A"/>
    <w:rsid w:val="658A4A65"/>
    <w:rsid w:val="659B25ED"/>
    <w:rsid w:val="65A63ABB"/>
    <w:rsid w:val="65B62248"/>
    <w:rsid w:val="65C31F4C"/>
    <w:rsid w:val="65C84406"/>
    <w:rsid w:val="65D75BD9"/>
    <w:rsid w:val="65E174F1"/>
    <w:rsid w:val="66083237"/>
    <w:rsid w:val="66117A87"/>
    <w:rsid w:val="661579EA"/>
    <w:rsid w:val="66274ED1"/>
    <w:rsid w:val="66296F4B"/>
    <w:rsid w:val="66486C88"/>
    <w:rsid w:val="66506FBE"/>
    <w:rsid w:val="66680CF5"/>
    <w:rsid w:val="66722D7E"/>
    <w:rsid w:val="66795C34"/>
    <w:rsid w:val="669B319D"/>
    <w:rsid w:val="66AF4E0F"/>
    <w:rsid w:val="66C937CB"/>
    <w:rsid w:val="66CB0279"/>
    <w:rsid w:val="66D60CC4"/>
    <w:rsid w:val="66DA79E1"/>
    <w:rsid w:val="66DB1E80"/>
    <w:rsid w:val="670E512F"/>
    <w:rsid w:val="6717766E"/>
    <w:rsid w:val="67236E9B"/>
    <w:rsid w:val="673C399E"/>
    <w:rsid w:val="674053E6"/>
    <w:rsid w:val="67423496"/>
    <w:rsid w:val="674243D5"/>
    <w:rsid w:val="674535FE"/>
    <w:rsid w:val="675D362F"/>
    <w:rsid w:val="676026AF"/>
    <w:rsid w:val="676D3752"/>
    <w:rsid w:val="678F58A0"/>
    <w:rsid w:val="679C69CB"/>
    <w:rsid w:val="67D5311C"/>
    <w:rsid w:val="67DC334C"/>
    <w:rsid w:val="67E352BD"/>
    <w:rsid w:val="67F34211"/>
    <w:rsid w:val="67FF1258"/>
    <w:rsid w:val="67FF52AE"/>
    <w:rsid w:val="6804217A"/>
    <w:rsid w:val="68186EAA"/>
    <w:rsid w:val="68227FF6"/>
    <w:rsid w:val="684F2794"/>
    <w:rsid w:val="68502032"/>
    <w:rsid w:val="68515FB2"/>
    <w:rsid w:val="68645012"/>
    <w:rsid w:val="68665D49"/>
    <w:rsid w:val="68710381"/>
    <w:rsid w:val="68731E42"/>
    <w:rsid w:val="68892437"/>
    <w:rsid w:val="68931938"/>
    <w:rsid w:val="68CA4FFE"/>
    <w:rsid w:val="68E75D5F"/>
    <w:rsid w:val="69140F77"/>
    <w:rsid w:val="69260C51"/>
    <w:rsid w:val="692659FD"/>
    <w:rsid w:val="694743B4"/>
    <w:rsid w:val="69563D13"/>
    <w:rsid w:val="6956CA14"/>
    <w:rsid w:val="69581A87"/>
    <w:rsid w:val="695F359E"/>
    <w:rsid w:val="69745125"/>
    <w:rsid w:val="6981559E"/>
    <w:rsid w:val="69857B0A"/>
    <w:rsid w:val="699120C1"/>
    <w:rsid w:val="69A20CCA"/>
    <w:rsid w:val="69AD2A84"/>
    <w:rsid w:val="69BC7410"/>
    <w:rsid w:val="69BE3D7E"/>
    <w:rsid w:val="69E974AB"/>
    <w:rsid w:val="6A3A1355"/>
    <w:rsid w:val="6A6B6107"/>
    <w:rsid w:val="6A7711BA"/>
    <w:rsid w:val="6A7B41D4"/>
    <w:rsid w:val="6A8C1B2C"/>
    <w:rsid w:val="6A916825"/>
    <w:rsid w:val="6A963D0B"/>
    <w:rsid w:val="6A9F57C5"/>
    <w:rsid w:val="6AAD24C9"/>
    <w:rsid w:val="6AB87A2E"/>
    <w:rsid w:val="6AC82E13"/>
    <w:rsid w:val="6ACE6D82"/>
    <w:rsid w:val="6AD30177"/>
    <w:rsid w:val="6ADA6664"/>
    <w:rsid w:val="6AEA2155"/>
    <w:rsid w:val="6AF23750"/>
    <w:rsid w:val="6B064893"/>
    <w:rsid w:val="6B0B46F8"/>
    <w:rsid w:val="6B0E68A2"/>
    <w:rsid w:val="6B0F26C1"/>
    <w:rsid w:val="6B2B6E3B"/>
    <w:rsid w:val="6B3E0B56"/>
    <w:rsid w:val="6B4126B9"/>
    <w:rsid w:val="6B4E6B69"/>
    <w:rsid w:val="6B591C5D"/>
    <w:rsid w:val="6B672BA5"/>
    <w:rsid w:val="6B7D0F65"/>
    <w:rsid w:val="6B824F86"/>
    <w:rsid w:val="6BA66F21"/>
    <w:rsid w:val="6BA85341"/>
    <w:rsid w:val="6BAA37E7"/>
    <w:rsid w:val="6BB1579E"/>
    <w:rsid w:val="6BBE3288"/>
    <w:rsid w:val="6BCB3C96"/>
    <w:rsid w:val="6BCF03F3"/>
    <w:rsid w:val="6BE0446B"/>
    <w:rsid w:val="6BE41766"/>
    <w:rsid w:val="6BE79BC6"/>
    <w:rsid w:val="6BEE36FA"/>
    <w:rsid w:val="6C0B15D1"/>
    <w:rsid w:val="6C13757D"/>
    <w:rsid w:val="6C272679"/>
    <w:rsid w:val="6C2D0D8D"/>
    <w:rsid w:val="6C3D0398"/>
    <w:rsid w:val="6C4B3AE6"/>
    <w:rsid w:val="6C6B110C"/>
    <w:rsid w:val="6C7E3B0E"/>
    <w:rsid w:val="6C825B32"/>
    <w:rsid w:val="6C870AAD"/>
    <w:rsid w:val="6C993C7A"/>
    <w:rsid w:val="6CA25D49"/>
    <w:rsid w:val="6CA967C5"/>
    <w:rsid w:val="6CB233C5"/>
    <w:rsid w:val="6CC06C75"/>
    <w:rsid w:val="6CE52626"/>
    <w:rsid w:val="6CE724C4"/>
    <w:rsid w:val="6CEB3E78"/>
    <w:rsid w:val="6D132037"/>
    <w:rsid w:val="6D2B69E7"/>
    <w:rsid w:val="6D3677E6"/>
    <w:rsid w:val="6D3B5D03"/>
    <w:rsid w:val="6D4A66BA"/>
    <w:rsid w:val="6D51176B"/>
    <w:rsid w:val="6D601F02"/>
    <w:rsid w:val="6D6B6334"/>
    <w:rsid w:val="6DA67CC7"/>
    <w:rsid w:val="6DB3265D"/>
    <w:rsid w:val="6DBD7C4A"/>
    <w:rsid w:val="6DC74375"/>
    <w:rsid w:val="6DED4133"/>
    <w:rsid w:val="6DFF2ECD"/>
    <w:rsid w:val="6E2D2118"/>
    <w:rsid w:val="6E4045B8"/>
    <w:rsid w:val="6E404E5C"/>
    <w:rsid w:val="6E451CC9"/>
    <w:rsid w:val="6E547D4E"/>
    <w:rsid w:val="6E561E24"/>
    <w:rsid w:val="6E67761D"/>
    <w:rsid w:val="6E82035B"/>
    <w:rsid w:val="6E824BB4"/>
    <w:rsid w:val="6E8B7BEF"/>
    <w:rsid w:val="6E925F5E"/>
    <w:rsid w:val="6E9E6E41"/>
    <w:rsid w:val="6EA16EC5"/>
    <w:rsid w:val="6EA5482C"/>
    <w:rsid w:val="6EBC09F7"/>
    <w:rsid w:val="6EC21436"/>
    <w:rsid w:val="6EC8503F"/>
    <w:rsid w:val="6EFF162A"/>
    <w:rsid w:val="6F317563"/>
    <w:rsid w:val="6F57618D"/>
    <w:rsid w:val="6F5B43AE"/>
    <w:rsid w:val="6F6350E8"/>
    <w:rsid w:val="6F672964"/>
    <w:rsid w:val="6F693089"/>
    <w:rsid w:val="6F78221E"/>
    <w:rsid w:val="6F7D5E90"/>
    <w:rsid w:val="6FC04EE4"/>
    <w:rsid w:val="6FD36795"/>
    <w:rsid w:val="6FDC53C1"/>
    <w:rsid w:val="6FE11CDB"/>
    <w:rsid w:val="6FF5685B"/>
    <w:rsid w:val="6FFE36EC"/>
    <w:rsid w:val="70112835"/>
    <w:rsid w:val="7018531F"/>
    <w:rsid w:val="70192C00"/>
    <w:rsid w:val="704027E1"/>
    <w:rsid w:val="7041584B"/>
    <w:rsid w:val="704D476F"/>
    <w:rsid w:val="704F1B23"/>
    <w:rsid w:val="705C76B5"/>
    <w:rsid w:val="706169FF"/>
    <w:rsid w:val="70A4696D"/>
    <w:rsid w:val="70BE228B"/>
    <w:rsid w:val="70D642C6"/>
    <w:rsid w:val="70F516EF"/>
    <w:rsid w:val="70F65824"/>
    <w:rsid w:val="70F95EE6"/>
    <w:rsid w:val="71057B42"/>
    <w:rsid w:val="711429F1"/>
    <w:rsid w:val="71152640"/>
    <w:rsid w:val="711E0083"/>
    <w:rsid w:val="717F577D"/>
    <w:rsid w:val="718D41DB"/>
    <w:rsid w:val="718F737D"/>
    <w:rsid w:val="71973D39"/>
    <w:rsid w:val="71A24F2F"/>
    <w:rsid w:val="71A62BDB"/>
    <w:rsid w:val="71AB5051"/>
    <w:rsid w:val="71BB5D0A"/>
    <w:rsid w:val="71D33387"/>
    <w:rsid w:val="71FF1D31"/>
    <w:rsid w:val="72032949"/>
    <w:rsid w:val="72074BC5"/>
    <w:rsid w:val="722D0123"/>
    <w:rsid w:val="72330710"/>
    <w:rsid w:val="724E1A71"/>
    <w:rsid w:val="72581A16"/>
    <w:rsid w:val="725C67F0"/>
    <w:rsid w:val="7267195F"/>
    <w:rsid w:val="726B3CE8"/>
    <w:rsid w:val="728464CE"/>
    <w:rsid w:val="728C315E"/>
    <w:rsid w:val="72D03B95"/>
    <w:rsid w:val="72D923D8"/>
    <w:rsid w:val="72DB1274"/>
    <w:rsid w:val="731C1934"/>
    <w:rsid w:val="732C562B"/>
    <w:rsid w:val="732D12E5"/>
    <w:rsid w:val="73346776"/>
    <w:rsid w:val="735C6B57"/>
    <w:rsid w:val="73610493"/>
    <w:rsid w:val="73637313"/>
    <w:rsid w:val="73637ADE"/>
    <w:rsid w:val="736921C6"/>
    <w:rsid w:val="737FADB6"/>
    <w:rsid w:val="7382629E"/>
    <w:rsid w:val="73A74E74"/>
    <w:rsid w:val="73B64639"/>
    <w:rsid w:val="73C071C6"/>
    <w:rsid w:val="73CE422D"/>
    <w:rsid w:val="73D878FE"/>
    <w:rsid w:val="73F04697"/>
    <w:rsid w:val="7409396F"/>
    <w:rsid w:val="741926E2"/>
    <w:rsid w:val="74256C8D"/>
    <w:rsid w:val="74422C74"/>
    <w:rsid w:val="744A6417"/>
    <w:rsid w:val="745F559C"/>
    <w:rsid w:val="74C70B65"/>
    <w:rsid w:val="74E119D3"/>
    <w:rsid w:val="74E12B2E"/>
    <w:rsid w:val="74E30FE5"/>
    <w:rsid w:val="75057B39"/>
    <w:rsid w:val="751953DB"/>
    <w:rsid w:val="751A429E"/>
    <w:rsid w:val="751D2F7C"/>
    <w:rsid w:val="75202F4F"/>
    <w:rsid w:val="75221707"/>
    <w:rsid w:val="752217A3"/>
    <w:rsid w:val="75295D5B"/>
    <w:rsid w:val="75367518"/>
    <w:rsid w:val="756E5A87"/>
    <w:rsid w:val="757A0E5F"/>
    <w:rsid w:val="75840729"/>
    <w:rsid w:val="75964625"/>
    <w:rsid w:val="75965591"/>
    <w:rsid w:val="75971777"/>
    <w:rsid w:val="759916AC"/>
    <w:rsid w:val="75A1338B"/>
    <w:rsid w:val="75A24068"/>
    <w:rsid w:val="75B95FCE"/>
    <w:rsid w:val="75C00E4A"/>
    <w:rsid w:val="75DF4468"/>
    <w:rsid w:val="76060C2A"/>
    <w:rsid w:val="7608612D"/>
    <w:rsid w:val="760D292B"/>
    <w:rsid w:val="76233507"/>
    <w:rsid w:val="762E10EC"/>
    <w:rsid w:val="763D7E06"/>
    <w:rsid w:val="76512308"/>
    <w:rsid w:val="765B3240"/>
    <w:rsid w:val="766E04C4"/>
    <w:rsid w:val="76786B6B"/>
    <w:rsid w:val="768310DB"/>
    <w:rsid w:val="768D1D27"/>
    <w:rsid w:val="76934C85"/>
    <w:rsid w:val="76B020F4"/>
    <w:rsid w:val="76C7471D"/>
    <w:rsid w:val="76CD35C6"/>
    <w:rsid w:val="76D93F09"/>
    <w:rsid w:val="76F07397"/>
    <w:rsid w:val="76F5222E"/>
    <w:rsid w:val="77060827"/>
    <w:rsid w:val="772554B7"/>
    <w:rsid w:val="77264277"/>
    <w:rsid w:val="77286C7D"/>
    <w:rsid w:val="772B73E9"/>
    <w:rsid w:val="773E2DF7"/>
    <w:rsid w:val="7752015A"/>
    <w:rsid w:val="77636624"/>
    <w:rsid w:val="776F122D"/>
    <w:rsid w:val="77755E67"/>
    <w:rsid w:val="779871C3"/>
    <w:rsid w:val="77BB436D"/>
    <w:rsid w:val="77D772E4"/>
    <w:rsid w:val="77FA2AD8"/>
    <w:rsid w:val="78216216"/>
    <w:rsid w:val="78240EAC"/>
    <w:rsid w:val="783A665B"/>
    <w:rsid w:val="784B68B9"/>
    <w:rsid w:val="784E6FB8"/>
    <w:rsid w:val="7862516E"/>
    <w:rsid w:val="78711D19"/>
    <w:rsid w:val="787E2728"/>
    <w:rsid w:val="78983636"/>
    <w:rsid w:val="78B3219F"/>
    <w:rsid w:val="78C70F56"/>
    <w:rsid w:val="78DB60D3"/>
    <w:rsid w:val="78E331D8"/>
    <w:rsid w:val="78E72200"/>
    <w:rsid w:val="78E97FED"/>
    <w:rsid w:val="78F4204E"/>
    <w:rsid w:val="78FE5E77"/>
    <w:rsid w:val="7904078A"/>
    <w:rsid w:val="79085EB7"/>
    <w:rsid w:val="790B3474"/>
    <w:rsid w:val="79216D31"/>
    <w:rsid w:val="793B1DF5"/>
    <w:rsid w:val="794167C2"/>
    <w:rsid w:val="79753624"/>
    <w:rsid w:val="797D10DD"/>
    <w:rsid w:val="798673B8"/>
    <w:rsid w:val="798B7866"/>
    <w:rsid w:val="79A92933"/>
    <w:rsid w:val="79CA2258"/>
    <w:rsid w:val="79F80601"/>
    <w:rsid w:val="7A124ADC"/>
    <w:rsid w:val="7A263351"/>
    <w:rsid w:val="7A266265"/>
    <w:rsid w:val="7A370B00"/>
    <w:rsid w:val="7A447AEF"/>
    <w:rsid w:val="7A463752"/>
    <w:rsid w:val="7A6274BA"/>
    <w:rsid w:val="7A6E5EA9"/>
    <w:rsid w:val="7A7C0238"/>
    <w:rsid w:val="7A7D3468"/>
    <w:rsid w:val="7A8502C1"/>
    <w:rsid w:val="7AA86927"/>
    <w:rsid w:val="7AB57540"/>
    <w:rsid w:val="7AC72715"/>
    <w:rsid w:val="7ACF7C5B"/>
    <w:rsid w:val="7AEC25B9"/>
    <w:rsid w:val="7AEE2113"/>
    <w:rsid w:val="7AF10F70"/>
    <w:rsid w:val="7AF122C4"/>
    <w:rsid w:val="7AFC4994"/>
    <w:rsid w:val="7AFF7F14"/>
    <w:rsid w:val="7B023C1B"/>
    <w:rsid w:val="7B166C80"/>
    <w:rsid w:val="7B220859"/>
    <w:rsid w:val="7B231EB3"/>
    <w:rsid w:val="7B3F45C1"/>
    <w:rsid w:val="7B3F6553"/>
    <w:rsid w:val="7B79164F"/>
    <w:rsid w:val="7B86539E"/>
    <w:rsid w:val="7B8E4186"/>
    <w:rsid w:val="7B9E7AA0"/>
    <w:rsid w:val="7BA06A45"/>
    <w:rsid w:val="7BB109C0"/>
    <w:rsid w:val="7BC40FA5"/>
    <w:rsid w:val="7BE97668"/>
    <w:rsid w:val="7BEE459E"/>
    <w:rsid w:val="7C031809"/>
    <w:rsid w:val="7C1215DB"/>
    <w:rsid w:val="7C242FCD"/>
    <w:rsid w:val="7C2A5815"/>
    <w:rsid w:val="7C322164"/>
    <w:rsid w:val="7C365B9B"/>
    <w:rsid w:val="7C3B5ABE"/>
    <w:rsid w:val="7C456125"/>
    <w:rsid w:val="7C5E1196"/>
    <w:rsid w:val="7C742C05"/>
    <w:rsid w:val="7C79238C"/>
    <w:rsid w:val="7C862510"/>
    <w:rsid w:val="7C8D4983"/>
    <w:rsid w:val="7C9914E6"/>
    <w:rsid w:val="7C9E1132"/>
    <w:rsid w:val="7CC34094"/>
    <w:rsid w:val="7CD16697"/>
    <w:rsid w:val="7CF769AC"/>
    <w:rsid w:val="7D415C4A"/>
    <w:rsid w:val="7D7E2643"/>
    <w:rsid w:val="7D8475EF"/>
    <w:rsid w:val="7DDA214C"/>
    <w:rsid w:val="7DDD4792"/>
    <w:rsid w:val="7DE027A8"/>
    <w:rsid w:val="7DFC3B1B"/>
    <w:rsid w:val="7E002DEA"/>
    <w:rsid w:val="7E00757F"/>
    <w:rsid w:val="7E0B65EA"/>
    <w:rsid w:val="7E0D328C"/>
    <w:rsid w:val="7E0D5384"/>
    <w:rsid w:val="7E140202"/>
    <w:rsid w:val="7E275BC0"/>
    <w:rsid w:val="7E29251D"/>
    <w:rsid w:val="7E7D7651"/>
    <w:rsid w:val="7EA356B7"/>
    <w:rsid w:val="7EA81F3D"/>
    <w:rsid w:val="7EA9680D"/>
    <w:rsid w:val="7EAB5B38"/>
    <w:rsid w:val="7EF212D6"/>
    <w:rsid w:val="7EF67981"/>
    <w:rsid w:val="7EF94012"/>
    <w:rsid w:val="7F1D247D"/>
    <w:rsid w:val="7F4C4C29"/>
    <w:rsid w:val="7F5C3F80"/>
    <w:rsid w:val="7F743D31"/>
    <w:rsid w:val="7F7C6F64"/>
    <w:rsid w:val="7F7D4B07"/>
    <w:rsid w:val="7F7E00C4"/>
    <w:rsid w:val="7F8112C6"/>
    <w:rsid w:val="7F9807AA"/>
    <w:rsid w:val="7F9B5AED"/>
    <w:rsid w:val="7F9E419B"/>
    <w:rsid w:val="7FB11417"/>
    <w:rsid w:val="7FB230A1"/>
    <w:rsid w:val="7FB43AF7"/>
    <w:rsid w:val="7FB96A06"/>
    <w:rsid w:val="7FE7963E"/>
    <w:rsid w:val="7FE81056"/>
    <w:rsid w:val="7FE82E5D"/>
    <w:rsid w:val="7FF00198"/>
    <w:rsid w:val="AFFFF07C"/>
    <w:rsid w:val="BBFF666C"/>
    <w:rsid w:val="BE7F89DB"/>
    <w:rsid w:val="CFEF7979"/>
    <w:rsid w:val="D757D209"/>
    <w:rsid w:val="EFFF8E01"/>
    <w:rsid w:val="FEBDB49D"/>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ind w:firstLine="560" w:firstLineChars="200"/>
      <w:jc w:val="both"/>
    </w:pPr>
    <w:rPr>
      <w:rFonts w:ascii="Times New Roman" w:hAnsi="Times New Roman" w:eastAsia="华文仿宋" w:cs="Times New Roman"/>
      <w:kern w:val="2"/>
      <w:sz w:val="28"/>
      <w:szCs w:val="22"/>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黑体"/>
      <w:b/>
      <w:kern w:val="44"/>
      <w:sz w:val="32"/>
    </w:rPr>
  </w:style>
  <w:style w:type="paragraph" w:styleId="3">
    <w:name w:val="heading 2"/>
    <w:basedOn w:val="1"/>
    <w:next w:val="1"/>
    <w:unhideWhenUsed/>
    <w:qFormat/>
    <w:uiPriority w:val="0"/>
    <w:pPr>
      <w:keepNext/>
      <w:keepLines/>
      <w:numPr>
        <w:ilvl w:val="0"/>
        <w:numId w:val="1"/>
      </w:numPr>
      <w:spacing w:before="50" w:beforeLines="50"/>
      <w:jc w:val="left"/>
      <w:outlineLvl w:val="1"/>
    </w:pPr>
    <w:rPr>
      <w:rFonts w:ascii="Arial" w:hAnsi="Arial" w:eastAsia="黑体"/>
      <w:b/>
    </w:rPr>
  </w:style>
  <w:style w:type="paragraph" w:styleId="4">
    <w:name w:val="heading 3"/>
    <w:basedOn w:val="1"/>
    <w:next w:val="1"/>
    <w:link w:val="19"/>
    <w:unhideWhenUsed/>
    <w:qFormat/>
    <w:uiPriority w:val="0"/>
    <w:pPr>
      <w:keepNext/>
      <w:keepLines/>
      <w:numPr>
        <w:ilvl w:val="0"/>
        <w:numId w:val="2"/>
      </w:numPr>
      <w:adjustRightInd w:val="0"/>
      <w:ind w:firstLine="420" w:firstLineChars="150"/>
      <w:jc w:val="left"/>
      <w:outlineLvl w:val="2"/>
    </w:pPr>
    <w:rPr>
      <w:b/>
    </w:rPr>
  </w:style>
  <w:style w:type="character" w:default="1" w:styleId="14">
    <w:name w:val="Default Paragraph Font"/>
    <w:unhideWhenUsed/>
    <w:qFormat/>
    <w:uiPriority w:val="1"/>
  </w:style>
  <w:style w:type="table" w:default="1" w:styleId="18">
    <w:name w:val="Normal Table"/>
    <w:unhideWhenUsed/>
    <w:qFormat/>
    <w:uiPriority w:val="99"/>
    <w:tblPr>
      <w:tblStyle w:val="18"/>
      <w:tblLayout w:type="fixed"/>
      <w:tblCellMar>
        <w:top w:w="0" w:type="dxa"/>
        <w:left w:w="108" w:type="dxa"/>
        <w:bottom w:w="0" w:type="dxa"/>
        <w:right w:w="108" w:type="dxa"/>
      </w:tblCellMar>
    </w:tblPr>
    <w:tcPr>
      <w:textDirection w:val="lrTb"/>
    </w:tcPr>
  </w:style>
  <w:style w:type="paragraph" w:styleId="5">
    <w:name w:val="Body Text Indent"/>
    <w:basedOn w:val="1"/>
    <w:qFormat/>
    <w:uiPriority w:val="0"/>
    <w:pPr>
      <w:spacing w:after="120"/>
      <w:ind w:left="420" w:leftChars="200"/>
    </w:pPr>
    <w:rPr>
      <w:sz w:val="21"/>
    </w:rPr>
  </w:style>
  <w:style w:type="paragraph" w:styleId="6">
    <w:name w:val="toc 3"/>
    <w:basedOn w:val="1"/>
    <w:next w:val="1"/>
    <w:link w:val="20"/>
    <w:qFormat/>
    <w:uiPriority w:val="0"/>
    <w:pPr>
      <w:ind w:left="840" w:leftChars="400"/>
    </w:pPr>
  </w:style>
  <w:style w:type="paragraph" w:styleId="7">
    <w:name w:val="Date"/>
    <w:basedOn w:val="1"/>
    <w:next w:val="1"/>
    <w:qFormat/>
    <w:uiPriority w:val="0"/>
    <w:pPr>
      <w:widowControl/>
      <w:ind w:left="100" w:leftChars="2500"/>
      <w:jc w:val="left"/>
    </w:pPr>
    <w:rPr>
      <w:rFonts w:hint="eastAsia" w:ascii="仿宋_GB2312" w:eastAsia="仿宋_GB2312"/>
      <w:kern w:val="0"/>
    </w:rPr>
  </w:style>
  <w:style w:type="paragraph" w:styleId="8">
    <w:name w:val="Balloon Text"/>
    <w:basedOn w:val="1"/>
    <w:link w:val="21"/>
    <w:qFormat/>
    <w:uiPriority w:val="0"/>
    <w:pPr>
      <w:spacing w:line="240" w:lineRule="auto"/>
    </w:pPr>
    <w:rPr>
      <w:sz w:val="18"/>
      <w:szCs w:val="18"/>
    </w:rPr>
  </w:style>
  <w:style w:type="paragraph" w:styleId="9">
    <w:name w:val="footer"/>
    <w:basedOn w:val="1"/>
    <w:qFormat/>
    <w:uiPriority w:val="0"/>
    <w:pPr>
      <w:tabs>
        <w:tab w:val="center" w:pos="4153"/>
        <w:tab w:val="right" w:pos="8306"/>
      </w:tabs>
      <w:snapToGrid w:val="0"/>
      <w:jc w:val="left"/>
    </w:pPr>
    <w:rPr>
      <w:kern w:val="0"/>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pPr>
      <w:spacing w:beforeAutospacing="1" w:afterAutospacing="1"/>
      <w:jc w:val="left"/>
    </w:pPr>
    <w:rPr>
      <w:kern w:val="0"/>
      <w:sz w:val="24"/>
    </w:rPr>
  </w:style>
  <w:style w:type="character" w:styleId="15">
    <w:name w:val="Strong"/>
    <w:basedOn w:val="14"/>
    <w:qFormat/>
    <w:uiPriority w:val="0"/>
    <w:rPr>
      <w:b/>
      <w:color w:val="FFFFFF"/>
      <w:bdr w:val="single" w:color="CFCFCF" w:sz="6" w:space="0"/>
      <w:shd w:val="clear" w:color="auto" w:fill="CFCFCF"/>
    </w:rPr>
  </w:style>
  <w:style w:type="character" w:styleId="16">
    <w:name w:val="FollowedHyperlink"/>
    <w:basedOn w:val="14"/>
    <w:qFormat/>
    <w:uiPriority w:val="0"/>
    <w:rPr>
      <w:color w:val="606163"/>
      <w:sz w:val="18"/>
      <w:szCs w:val="18"/>
      <w:u w:val="none"/>
    </w:rPr>
  </w:style>
  <w:style w:type="character" w:styleId="17">
    <w:name w:val="Hyperlink"/>
    <w:basedOn w:val="14"/>
    <w:qFormat/>
    <w:uiPriority w:val="0"/>
    <w:rPr>
      <w:color w:val="606163"/>
      <w:sz w:val="18"/>
      <w:szCs w:val="18"/>
      <w:u w:val="none"/>
    </w:rPr>
  </w:style>
  <w:style w:type="character" w:customStyle="1" w:styleId="19">
    <w:name w:val="标题 3 Char"/>
    <w:link w:val="4"/>
    <w:qFormat/>
    <w:uiPriority w:val="0"/>
    <w:rPr>
      <w:rFonts w:eastAsia="华文仿宋"/>
      <w:b/>
    </w:rPr>
  </w:style>
  <w:style w:type="character" w:customStyle="1" w:styleId="20">
    <w:name w:val="目录 3 Char"/>
    <w:link w:val="6"/>
    <w:qFormat/>
    <w:uiPriority w:val="0"/>
  </w:style>
  <w:style w:type="character" w:customStyle="1" w:styleId="21">
    <w:name w:val="批注框文本 Char"/>
    <w:basedOn w:val="14"/>
    <w:link w:val="8"/>
    <w:qFormat/>
    <w:uiPriority w:val="0"/>
    <w:rPr>
      <w:rFonts w:eastAsia="华文仿宋"/>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tyles" Target="style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5.xml"/><Relationship Id="rId11" Type="http://schemas.openxmlformats.org/officeDocument/2006/relationships/footer" Target="footer4.xml"/><Relationship Id="rId10" Type="http://schemas.openxmlformats.org/officeDocument/2006/relationships/header" Target="header4.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2866</Words>
  <Characters>16338</Characters>
  <Lines>136</Lines>
  <Paragraphs>38</Paragraphs>
  <ScaleCrop>false</ScaleCrop>
  <LinksUpToDate>false</LinksUpToDate>
  <CharactersWithSpaces>0</CharactersWithSpaces>
  <Application>WPS Office 专业版_9.1.0.4798_{F1E327BC-269C-435d-A152-05C5408002CA}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孙立军</cp:lastModifiedBy>
  <cp:lastPrinted>2017-06-13T02:41:00Z</cp:lastPrinted>
  <dcterms:modified xsi:type="dcterms:W3CDTF">2017-06-14T06:27:42Z</dcterms:modified>
  <dc:title>服务指南编号：04034</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2052-9.1.0.4798</vt:lpwstr>
  </property>
</Properties>
</file>